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73CFD" w:rsidRPr="00E22BD2" w:rsidRDefault="00173CFD" w:rsidP="00173CFD">
      <w:pPr>
        <w:jc w:val="both"/>
        <w:rPr>
          <w:rFonts w:ascii="Palatino Linotype" w:hAnsi="Palatino Linotype"/>
          <w:b/>
          <w:bCs/>
          <w:color w:val="FF0000"/>
          <w:sz w:val="24"/>
          <w:szCs w:val="24"/>
        </w:rPr>
      </w:pPr>
      <w:r w:rsidRPr="00E22BD2">
        <w:rPr>
          <w:rFonts w:ascii="Palatino Linotype" w:hAnsi="Palatino Linotype"/>
          <w:b/>
          <w:bCs/>
          <w:color w:val="FF0000"/>
          <w:sz w:val="24"/>
          <w:szCs w:val="24"/>
        </w:rPr>
        <w:t>Research Article</w:t>
      </w:r>
    </w:p>
    <w:p w:rsidR="00173CFD" w:rsidRDefault="00173CFD" w:rsidP="00173CFD">
      <w:pPr>
        <w:spacing w:line="0" w:lineRule="atLeast"/>
        <w:rPr>
          <w:rFonts w:ascii="Palatino Linotype" w:eastAsia="Arial" w:hAnsi="Palatino Linotype" w:cs="Times New Roman"/>
          <w:b/>
          <w:sz w:val="24"/>
          <w:szCs w:val="48"/>
        </w:rPr>
      </w:pPr>
    </w:p>
    <w:p w:rsidR="00F0593F" w:rsidRPr="00173CFD" w:rsidRDefault="00173CFD" w:rsidP="00173CFD">
      <w:pPr>
        <w:spacing w:line="0" w:lineRule="atLeast"/>
        <w:rPr>
          <w:rFonts w:ascii="Times New Roman" w:eastAsia="Arial" w:hAnsi="Times New Roman" w:cs="Times New Roman"/>
          <w:b/>
          <w:sz w:val="24"/>
          <w:szCs w:val="48"/>
        </w:rPr>
      </w:pPr>
      <w:r w:rsidRPr="00173CFD">
        <w:rPr>
          <w:rFonts w:ascii="Times New Roman" w:eastAsia="Arial" w:hAnsi="Times New Roman" w:cs="Times New Roman"/>
          <w:b/>
          <w:sz w:val="24"/>
          <w:szCs w:val="48"/>
        </w:rPr>
        <w:t>Characteristics of Adverse Drug Reactions and Related Risk Factors among Female Patients</w:t>
      </w:r>
    </w:p>
    <w:p w:rsidR="00F0593F" w:rsidRPr="00173CFD" w:rsidRDefault="00F0593F" w:rsidP="00173CFD">
      <w:pPr>
        <w:spacing w:line="0" w:lineRule="atLeast"/>
        <w:jc w:val="both"/>
        <w:rPr>
          <w:rFonts w:ascii="Palatino Linotype" w:eastAsia="Times New Roman" w:hAnsi="Palatino Linotype" w:cs="Times New Roman"/>
        </w:rPr>
      </w:pPr>
    </w:p>
    <w:p w:rsidR="00F0593F" w:rsidRPr="006E59E4" w:rsidRDefault="00D87E6D" w:rsidP="00173CFD">
      <w:pPr>
        <w:spacing w:line="0" w:lineRule="atLeast"/>
        <w:rPr>
          <w:rFonts w:ascii="Times New Roman" w:eastAsia="Arial" w:hAnsi="Times New Roman" w:cs="Times New Roman"/>
          <w:b/>
          <w:sz w:val="24"/>
        </w:rPr>
      </w:pPr>
      <w:proofErr w:type="spellStart"/>
      <w:r w:rsidRPr="006E59E4">
        <w:rPr>
          <w:rFonts w:ascii="Times New Roman" w:eastAsia="Arial" w:hAnsi="Times New Roman" w:cs="Times New Roman"/>
          <w:b/>
          <w:sz w:val="24"/>
        </w:rPr>
        <w:t>Gayatri</w:t>
      </w:r>
      <w:proofErr w:type="spellEnd"/>
      <w:r w:rsidRPr="006E59E4">
        <w:rPr>
          <w:rFonts w:ascii="Times New Roman" w:eastAsia="Arial" w:hAnsi="Times New Roman" w:cs="Times New Roman"/>
          <w:b/>
          <w:sz w:val="24"/>
        </w:rPr>
        <w:t xml:space="preserve"> </w:t>
      </w:r>
      <w:proofErr w:type="spellStart"/>
      <w:r w:rsidRPr="006E59E4">
        <w:rPr>
          <w:rFonts w:ascii="Times New Roman" w:eastAsia="Arial" w:hAnsi="Times New Roman" w:cs="Times New Roman"/>
          <w:b/>
          <w:sz w:val="24"/>
        </w:rPr>
        <w:t>Biswas</w:t>
      </w:r>
      <w:proofErr w:type="spellEnd"/>
      <w:r w:rsidRPr="006E59E4">
        <w:rPr>
          <w:rFonts w:ascii="Times New Roman" w:eastAsia="Arial" w:hAnsi="Times New Roman" w:cs="Times New Roman"/>
          <w:b/>
          <w:sz w:val="24"/>
        </w:rPr>
        <w:t xml:space="preserve"> </w:t>
      </w:r>
      <w:proofErr w:type="spellStart"/>
      <w:r w:rsidRPr="006E59E4">
        <w:rPr>
          <w:rFonts w:ascii="Times New Roman" w:eastAsia="Arial" w:hAnsi="Times New Roman" w:cs="Times New Roman"/>
          <w:b/>
          <w:sz w:val="24"/>
        </w:rPr>
        <w:t>Sahu</w:t>
      </w:r>
      <w:proofErr w:type="spellEnd"/>
      <w:r w:rsidRPr="006E59E4">
        <w:rPr>
          <w:rFonts w:ascii="Times New Roman" w:eastAsia="Arial" w:hAnsi="Times New Roman" w:cs="Times New Roman"/>
          <w:b/>
          <w:sz w:val="24"/>
        </w:rPr>
        <w:t xml:space="preserve"> </w:t>
      </w:r>
    </w:p>
    <w:p w:rsidR="00F0593F" w:rsidRPr="006E59E4" w:rsidRDefault="00F0593F" w:rsidP="00173CFD">
      <w:pPr>
        <w:spacing w:line="0" w:lineRule="atLeast"/>
        <w:rPr>
          <w:rFonts w:ascii="Palatino Linotype" w:eastAsia="Arial" w:hAnsi="Palatino Linotype" w:cs="Times New Roman"/>
        </w:rPr>
      </w:pPr>
      <w:r w:rsidRPr="006E59E4">
        <w:rPr>
          <w:rFonts w:ascii="Palatino Linotype" w:eastAsia="Arial" w:hAnsi="Palatino Linotype" w:cs="Times New Roman"/>
        </w:rPr>
        <w:t xml:space="preserve">Department of Pharmacy, Obstetrics and Gynecology Hospital, </w:t>
      </w:r>
      <w:proofErr w:type="spellStart"/>
      <w:r w:rsidR="00D87E6D" w:rsidRPr="006E59E4">
        <w:rPr>
          <w:rFonts w:ascii="Palatino Linotype" w:eastAsia="Arial" w:hAnsi="Palatino Linotype" w:cs="Times New Roman"/>
        </w:rPr>
        <w:t>Gujrat</w:t>
      </w:r>
      <w:proofErr w:type="spellEnd"/>
      <w:r w:rsidR="00D87E6D" w:rsidRPr="006E59E4">
        <w:rPr>
          <w:rFonts w:ascii="Palatino Linotype" w:eastAsia="Arial" w:hAnsi="Palatino Linotype" w:cs="Times New Roman"/>
        </w:rPr>
        <w:t xml:space="preserve">, India </w:t>
      </w:r>
    </w:p>
    <w:p w:rsidR="00F0593F" w:rsidRPr="00173CFD" w:rsidRDefault="00F0593F" w:rsidP="00173CFD">
      <w:pPr>
        <w:spacing w:line="0" w:lineRule="atLeast"/>
        <w:jc w:val="both"/>
        <w:rPr>
          <w:rFonts w:ascii="Palatino Linotype" w:eastAsia="Times New Roman" w:hAnsi="Palatino Linotype" w:cs="Times New Roman"/>
        </w:rPr>
      </w:pPr>
    </w:p>
    <w:p w:rsidR="0014616C" w:rsidRPr="00173CFD" w:rsidRDefault="0014616C" w:rsidP="00173CFD">
      <w:pPr>
        <w:spacing w:line="0" w:lineRule="atLeast"/>
        <w:jc w:val="both"/>
        <w:rPr>
          <w:rFonts w:ascii="Palatino Linotype" w:eastAsia="Arial" w:hAnsi="Palatino Linotype" w:cs="Times New Roman"/>
          <w:b/>
        </w:rPr>
        <w:sectPr w:rsidR="0014616C" w:rsidRPr="00173CFD" w:rsidSect="00173CFD">
          <w:headerReference w:type="default" r:id="rId9"/>
          <w:footerReference w:type="default" r:id="rId10"/>
          <w:pgSz w:w="11909" w:h="16834" w:code="9"/>
          <w:pgMar w:top="1440" w:right="720" w:bottom="720" w:left="720" w:header="720" w:footer="346" w:gutter="0"/>
          <w:cols w:space="0"/>
          <w:docGrid w:linePitch="360"/>
        </w:sectPr>
      </w:pPr>
    </w:p>
    <w:p w:rsidR="00F0593F" w:rsidRPr="00173CFD" w:rsidRDefault="00173CFD" w:rsidP="00173CFD">
      <w:pPr>
        <w:spacing w:line="0" w:lineRule="atLeast"/>
        <w:ind w:left="2520"/>
        <w:jc w:val="both"/>
        <w:rPr>
          <w:rFonts w:ascii="Palatino Linotype" w:eastAsia="Arial" w:hAnsi="Palatino Linotype" w:cs="Times New Roman"/>
          <w:sz w:val="18"/>
        </w:rPr>
      </w:pPr>
      <w:r w:rsidRPr="00173CFD">
        <w:rPr>
          <w:rFonts w:ascii="Palatino Linotype" w:eastAsia="Arial" w:hAnsi="Palatino Linotype" w:cs="Times New Roman"/>
          <w:b/>
          <w:sz w:val="18"/>
        </w:rPr>
        <w:lastRenderedPageBreak/>
        <w:t xml:space="preserve">Abstract: </w:t>
      </w:r>
      <w:r w:rsidR="00F0593F" w:rsidRPr="00173CFD">
        <w:rPr>
          <w:rFonts w:ascii="Palatino Linotype" w:eastAsia="Arial" w:hAnsi="Palatino Linotype" w:cs="Times New Roman"/>
          <w:sz w:val="18"/>
        </w:rPr>
        <w:t>B</w:t>
      </w:r>
      <w:bookmarkStart w:id="0" w:name="_GoBack"/>
      <w:bookmarkEnd w:id="0"/>
      <w:r w:rsidR="00F0593F" w:rsidRPr="00173CFD">
        <w:rPr>
          <w:rFonts w:ascii="Palatino Linotype" w:eastAsia="Arial" w:hAnsi="Palatino Linotype" w:cs="Times New Roman"/>
          <w:sz w:val="18"/>
        </w:rPr>
        <w:t xml:space="preserve">ackground and Objective: Previous studies have demonstrated that Gender-associated Adverse Drug Reactions (ADRs) were one of the leading causes of harm and/or death among patients during medical treatments. However, the ADRs focusing the female patients are very rare. This study aimed at exploring characteristics of ADRs and related risk factors among female patients in obstetrics and </w:t>
      </w:r>
      <w:proofErr w:type="spellStart"/>
      <w:r w:rsidR="00F0593F" w:rsidRPr="00173CFD">
        <w:rPr>
          <w:rFonts w:ascii="Palatino Linotype" w:eastAsia="Arial" w:hAnsi="Palatino Linotype" w:cs="Times New Roman"/>
          <w:sz w:val="18"/>
        </w:rPr>
        <w:t>gynaecology</w:t>
      </w:r>
      <w:proofErr w:type="spellEnd"/>
      <w:r w:rsidR="00F0593F" w:rsidRPr="00173CFD">
        <w:rPr>
          <w:rFonts w:ascii="Palatino Linotype" w:eastAsia="Arial" w:hAnsi="Palatino Linotype" w:cs="Times New Roman"/>
          <w:sz w:val="18"/>
        </w:rPr>
        <w:t xml:space="preserve"> hospital. Materials and Methods: A retrospective analysis was performed on 357 hospitalizations and outpatients from January, 2010-October, 2015 in our hospital. The ADRs that happened in the female patients were strictly monitored and reported by doctors after drug administration. ADRs were evaluated based on the WHO-Uppsala Monitoring Center criteria. Regression analysis via the Cox proportional hazards model was performed to assess independent predictive variables against the latency of ADR. Results: The most frequently ADRs were rash, vulvar, vaginal discomfort or nausea. The latency of ADR’s onset in patients ranged from several seconds to a couple of days and 0.5-24 hrs was the most frequently (n = 190, 53.22%) in general. Both age and allergy histories were positively correlated with the duration period of ADRs (hazard ratio HR 2.919, 95% CI 1.049-8.124 and HR 4.107, 95% CI 1.478-11.410). Conclusion: These data demonstrate the characteristics of the ADRs in female patients, to provide an increasing number of female-patient based ADR database and valuable data to study </w:t>
      </w:r>
      <w:proofErr w:type="spellStart"/>
      <w:r w:rsidR="00F0593F" w:rsidRPr="00173CFD">
        <w:rPr>
          <w:rFonts w:ascii="Palatino Linotype" w:eastAsia="Arial" w:hAnsi="Palatino Linotype" w:cs="Times New Roman"/>
          <w:sz w:val="18"/>
        </w:rPr>
        <w:t>pharmacovigilance</w:t>
      </w:r>
      <w:proofErr w:type="spellEnd"/>
      <w:r w:rsidR="00F0593F" w:rsidRPr="00173CFD">
        <w:rPr>
          <w:rFonts w:ascii="Palatino Linotype" w:eastAsia="Arial" w:hAnsi="Palatino Linotype" w:cs="Times New Roman"/>
          <w:sz w:val="18"/>
        </w:rPr>
        <w:t>.</w:t>
      </w:r>
    </w:p>
    <w:p w:rsidR="00F0593F" w:rsidRPr="00173CFD" w:rsidRDefault="00F0593F" w:rsidP="00173CFD">
      <w:pPr>
        <w:spacing w:line="0" w:lineRule="atLeast"/>
        <w:ind w:left="2520"/>
        <w:jc w:val="both"/>
        <w:rPr>
          <w:rFonts w:ascii="Palatino Linotype" w:eastAsia="Arial" w:hAnsi="Palatino Linotype" w:cs="Times New Roman"/>
          <w:sz w:val="18"/>
        </w:rPr>
      </w:pPr>
      <w:r w:rsidRPr="00173CFD">
        <w:rPr>
          <w:rFonts w:ascii="Palatino Linotype" w:eastAsia="Arial" w:hAnsi="Palatino Linotype" w:cs="Times New Roman"/>
          <w:b/>
          <w:sz w:val="18"/>
        </w:rPr>
        <w:t>Key words:</w:t>
      </w:r>
      <w:r w:rsidRPr="00173CFD">
        <w:rPr>
          <w:rFonts w:ascii="Palatino Linotype" w:eastAsia="Arial" w:hAnsi="Palatino Linotype" w:cs="Times New Roman"/>
          <w:sz w:val="18"/>
        </w:rPr>
        <w:t xml:space="preserve"> ADRs, risk factor, </w:t>
      </w:r>
      <w:proofErr w:type="spellStart"/>
      <w:r w:rsidRPr="00173CFD">
        <w:rPr>
          <w:rFonts w:ascii="Palatino Linotype" w:eastAsia="Arial" w:hAnsi="Palatino Linotype" w:cs="Times New Roman"/>
          <w:sz w:val="18"/>
        </w:rPr>
        <w:t>pharmacovigilance</w:t>
      </w:r>
      <w:proofErr w:type="spellEnd"/>
      <w:r w:rsidRPr="00173CFD">
        <w:rPr>
          <w:rFonts w:ascii="Palatino Linotype" w:eastAsia="Arial" w:hAnsi="Palatino Linotype" w:cs="Times New Roman"/>
          <w:sz w:val="18"/>
        </w:rPr>
        <w:t>, sex hormones, maternal, obesity, patient safety</w:t>
      </w:r>
    </w:p>
    <w:p w:rsidR="00F0593F" w:rsidRDefault="00F0593F" w:rsidP="00173CFD">
      <w:pPr>
        <w:spacing w:line="0" w:lineRule="atLeast"/>
        <w:jc w:val="both"/>
        <w:rPr>
          <w:rFonts w:ascii="Palatino Linotype" w:eastAsia="Arial" w:hAnsi="Palatino Linotype" w:cs="Times New Roman"/>
        </w:rPr>
      </w:pPr>
    </w:p>
    <w:p w:rsidR="00D87E6D" w:rsidRDefault="00173CFD" w:rsidP="00173CFD">
      <w:pPr>
        <w:spacing w:line="0" w:lineRule="atLeast"/>
        <w:jc w:val="both"/>
        <w:rPr>
          <w:rFonts w:ascii="Palatino Linotype" w:hAnsi="Palatino Linotype" w:cs="Times New Roman"/>
        </w:rPr>
      </w:pPr>
      <w:r w:rsidRPr="0057063B">
        <w:rPr>
          <w:rFonts w:ascii="Palatino Linotype" w:hAnsi="Palatino Linotype" w:cs="Times New Roman"/>
          <w:b/>
        </w:rPr>
        <w:t>How to cite this article</w:t>
      </w:r>
      <w:r w:rsidR="00D87E6D">
        <w:rPr>
          <w:rFonts w:ascii="Palatino Linotype" w:hAnsi="Palatino Linotype" w:cs="Times New Roman"/>
          <w:b/>
        </w:rPr>
        <w:t>:</w:t>
      </w:r>
      <w:r w:rsidR="00D87E6D" w:rsidRPr="00D87E6D">
        <w:t xml:space="preserve"> </w:t>
      </w:r>
      <w:proofErr w:type="spellStart"/>
      <w:r w:rsidR="00D87E6D" w:rsidRPr="00D87E6D">
        <w:rPr>
          <w:rFonts w:ascii="Palatino Linotype" w:hAnsi="Palatino Linotype" w:cs="Times New Roman"/>
          <w:b/>
        </w:rPr>
        <w:t>Sahu</w:t>
      </w:r>
      <w:proofErr w:type="spellEnd"/>
      <w:r w:rsidR="00D87E6D">
        <w:rPr>
          <w:rFonts w:ascii="Palatino Linotype" w:hAnsi="Palatino Linotype" w:cs="Times New Roman"/>
          <w:b/>
        </w:rPr>
        <w:t xml:space="preserve"> GB</w:t>
      </w:r>
      <w:r w:rsidRPr="0057063B">
        <w:rPr>
          <w:rFonts w:ascii="Palatino Linotype" w:hAnsi="Palatino Linotype" w:cs="Times New Roman"/>
          <w:b/>
        </w:rPr>
        <w:t>.</w:t>
      </w:r>
      <w:r>
        <w:rPr>
          <w:rFonts w:ascii="Palatino Linotype" w:hAnsi="Palatino Linotype" w:cs="Times New Roman"/>
          <w:b/>
        </w:rPr>
        <w:t xml:space="preserve"> </w:t>
      </w:r>
      <w:r w:rsidRPr="00173CFD">
        <w:rPr>
          <w:rFonts w:ascii="Palatino Linotype" w:hAnsi="Palatino Linotype" w:cs="Times New Roman"/>
        </w:rPr>
        <w:t xml:space="preserve">Characteristics </w:t>
      </w:r>
      <w:proofErr w:type="gramStart"/>
      <w:r w:rsidRPr="00173CFD">
        <w:rPr>
          <w:rFonts w:ascii="Palatino Linotype" w:hAnsi="Palatino Linotype" w:cs="Times New Roman"/>
        </w:rPr>
        <w:t>Of</w:t>
      </w:r>
      <w:proofErr w:type="gramEnd"/>
      <w:r w:rsidRPr="00173CFD">
        <w:rPr>
          <w:rFonts w:ascii="Palatino Linotype" w:hAnsi="Palatino Linotype" w:cs="Times New Roman"/>
        </w:rPr>
        <w:t xml:space="preserve"> Adverse Drug Reactions And Related Risk Factors Among </w:t>
      </w:r>
    </w:p>
    <w:p w:rsidR="00173CFD" w:rsidRPr="0057063B" w:rsidRDefault="00D87E6D" w:rsidP="00173CFD">
      <w:pPr>
        <w:spacing w:line="0" w:lineRule="atLeast"/>
        <w:jc w:val="both"/>
        <w:rPr>
          <w:rFonts w:ascii="Palatino Linotype" w:hAnsi="Palatino Linotype" w:cs="Times New Roman"/>
          <w:b/>
        </w:rPr>
      </w:pPr>
      <w:r>
        <w:rPr>
          <w:rFonts w:ascii="Palatino Linotype" w:hAnsi="Palatino Linotype" w:cs="Times New Roman"/>
        </w:rPr>
        <w:t xml:space="preserve">                                           </w:t>
      </w:r>
      <w:proofErr w:type="gramStart"/>
      <w:r w:rsidR="00173CFD" w:rsidRPr="00173CFD">
        <w:rPr>
          <w:rFonts w:ascii="Palatino Linotype" w:hAnsi="Palatino Linotype" w:cs="Times New Roman"/>
        </w:rPr>
        <w:t>Female Patients</w:t>
      </w:r>
      <w:r w:rsidR="00173CFD">
        <w:rPr>
          <w:rFonts w:ascii="Palatino Linotype" w:hAnsi="Palatino Linotype" w:cs="Times New Roman"/>
          <w:b/>
        </w:rPr>
        <w:t>.</w:t>
      </w:r>
      <w:proofErr w:type="gramEnd"/>
      <w:r w:rsidR="00173CFD">
        <w:rPr>
          <w:rFonts w:ascii="Palatino Linotype" w:hAnsi="Palatino Linotype" w:cs="Times New Roman"/>
          <w:b/>
        </w:rPr>
        <w:t xml:space="preserve"> </w:t>
      </w:r>
      <w:proofErr w:type="gramStart"/>
      <w:r w:rsidRPr="00892E62">
        <w:rPr>
          <w:rFonts w:ascii="Palatino Linotype" w:hAnsi="Palatino Linotype" w:cs="Times New Roman"/>
          <w:b/>
        </w:rPr>
        <w:t>Research Journal of Medicine and Pharmacy</w:t>
      </w:r>
      <w:r w:rsidRPr="0057063B">
        <w:rPr>
          <w:rFonts w:ascii="Palatino Linotype" w:hAnsi="Palatino Linotype" w:cs="Times New Roman"/>
          <w:b/>
        </w:rPr>
        <w:t>.</w:t>
      </w:r>
      <w:proofErr w:type="gramEnd"/>
      <w:r w:rsidRPr="0057063B">
        <w:rPr>
          <w:rFonts w:ascii="Palatino Linotype" w:hAnsi="Palatino Linotype" w:cs="Times New Roman"/>
          <w:b/>
        </w:rPr>
        <w:t xml:space="preserve"> 202</w:t>
      </w:r>
      <w:r>
        <w:rPr>
          <w:rFonts w:ascii="Palatino Linotype" w:hAnsi="Palatino Linotype" w:cs="Times New Roman"/>
          <w:b/>
        </w:rPr>
        <w:t>6 Feb, 5</w:t>
      </w:r>
      <w:r w:rsidRPr="0057063B">
        <w:rPr>
          <w:rFonts w:ascii="Palatino Linotype" w:hAnsi="Palatino Linotype" w:cs="Times New Roman"/>
          <w:b/>
        </w:rPr>
        <w:t>(</w:t>
      </w:r>
      <w:r>
        <w:rPr>
          <w:rFonts w:ascii="Palatino Linotype" w:hAnsi="Palatino Linotype" w:cs="Times New Roman"/>
          <w:b/>
        </w:rPr>
        <w:t>1): 31-39</w:t>
      </w:r>
    </w:p>
    <w:p w:rsidR="00173CFD" w:rsidRPr="0057063B" w:rsidRDefault="00173CFD" w:rsidP="00173CFD">
      <w:pPr>
        <w:spacing w:line="0" w:lineRule="atLeast"/>
        <w:jc w:val="both"/>
        <w:rPr>
          <w:rFonts w:ascii="Palatino Linotype" w:hAnsi="Palatino Linotype" w:cs="Times New Roman"/>
          <w:b/>
        </w:rPr>
      </w:pPr>
      <w:r w:rsidRPr="0057063B">
        <w:rPr>
          <w:rFonts w:ascii="Palatino Linotype" w:hAnsi="Palatino Linotype" w:cs="Times New Roman"/>
          <w:b/>
        </w:rPr>
        <w:t>Source of support: Nil.</w:t>
      </w:r>
      <w:r w:rsidRPr="0057063B">
        <w:rPr>
          <w:rFonts w:ascii="Palatino Linotype" w:hAnsi="Palatino Linotype" w:cs="Times New Roman"/>
          <w:b/>
        </w:rPr>
        <w:tab/>
      </w:r>
      <w:r w:rsidRPr="0057063B">
        <w:rPr>
          <w:rFonts w:ascii="Palatino Linotype" w:hAnsi="Palatino Linotype" w:cs="Times New Roman"/>
          <w:b/>
        </w:rPr>
        <w:tab/>
      </w:r>
      <w:r w:rsidRPr="0057063B">
        <w:rPr>
          <w:rFonts w:ascii="Palatino Linotype" w:hAnsi="Palatino Linotype" w:cs="Times New Roman"/>
          <w:b/>
        </w:rPr>
        <w:tab/>
      </w:r>
      <w:r w:rsidRPr="0057063B">
        <w:rPr>
          <w:rFonts w:ascii="Palatino Linotype" w:hAnsi="Palatino Linotype" w:cs="Times New Roman"/>
          <w:b/>
        </w:rPr>
        <w:tab/>
      </w:r>
      <w:r w:rsidRPr="0057063B">
        <w:rPr>
          <w:rFonts w:ascii="Palatino Linotype" w:hAnsi="Palatino Linotype" w:cs="Times New Roman"/>
          <w:b/>
        </w:rPr>
        <w:tab/>
      </w:r>
      <w:r w:rsidRPr="0057063B">
        <w:rPr>
          <w:rFonts w:ascii="Palatino Linotype" w:hAnsi="Palatino Linotype" w:cs="Times New Roman"/>
          <w:b/>
        </w:rPr>
        <w:tab/>
      </w:r>
      <w:r w:rsidRPr="0057063B">
        <w:rPr>
          <w:rFonts w:ascii="Palatino Linotype" w:hAnsi="Palatino Linotype" w:cs="Times New Roman"/>
          <w:b/>
        </w:rPr>
        <w:tab/>
      </w:r>
    </w:p>
    <w:p w:rsidR="00173CFD" w:rsidRPr="0057063B" w:rsidRDefault="00173CFD" w:rsidP="00173CFD">
      <w:pPr>
        <w:spacing w:line="0" w:lineRule="atLeast"/>
        <w:jc w:val="both"/>
        <w:rPr>
          <w:rFonts w:ascii="Palatino Linotype" w:hAnsi="Palatino Linotype" w:cs="Times New Roman"/>
          <w:b/>
        </w:rPr>
      </w:pPr>
      <w:r w:rsidRPr="0057063B">
        <w:rPr>
          <w:rFonts w:ascii="Palatino Linotype" w:hAnsi="Palatino Linotype" w:cs="Times New Roman"/>
          <w:b/>
        </w:rPr>
        <w:t>Conflict of interest: None</w:t>
      </w:r>
    </w:p>
    <w:p w:rsidR="00173CFD" w:rsidRDefault="00173CFD" w:rsidP="00173CFD">
      <w:pPr>
        <w:spacing w:line="0" w:lineRule="atLeast"/>
        <w:jc w:val="both"/>
        <w:rPr>
          <w:rFonts w:ascii="Palatino Linotype" w:hAnsi="Palatino Linotype" w:cs="Times New Roman"/>
          <w:b/>
        </w:rPr>
      </w:pPr>
      <w:r w:rsidRPr="0057063B">
        <w:rPr>
          <w:rFonts w:ascii="Palatino Linotype" w:hAnsi="Palatino Linotype" w:cs="Times New Roman"/>
          <w:b/>
        </w:rPr>
        <w:t>DOI:</w:t>
      </w:r>
      <w:r w:rsidR="00D87E6D" w:rsidRPr="00D87E6D">
        <w:rPr>
          <w:rFonts w:ascii="Palatino Linotype" w:hAnsi="Palatino Linotype" w:cs="Times New Roman"/>
          <w:b/>
        </w:rPr>
        <w:t xml:space="preserve"> </w:t>
      </w:r>
      <w:hyperlink r:id="rId11" w:history="1">
        <w:r w:rsidR="00D87E6D" w:rsidRPr="00D87E6D">
          <w:rPr>
            <w:rStyle w:val="Hyperlink"/>
            <w:rFonts w:ascii="Palatino Linotype" w:hAnsi="Palatino Linotype" w:cs="Times New Roman"/>
            <w:b/>
          </w:rPr>
          <w:t>doi.org/10.58924/rjmp.v5.iss1.p4</w:t>
        </w:r>
      </w:hyperlink>
    </w:p>
    <w:p w:rsidR="00173CFD" w:rsidRPr="00173CFD" w:rsidRDefault="00173CFD" w:rsidP="00173CFD">
      <w:pPr>
        <w:spacing w:line="0" w:lineRule="atLeast"/>
        <w:jc w:val="both"/>
        <w:rPr>
          <w:rFonts w:ascii="Palatino Linotype" w:eastAsia="Arial" w:hAnsi="Palatino Linotype" w:cs="Times New Roman"/>
        </w:rPr>
      </w:pPr>
    </w:p>
    <w:p w:rsidR="00F0593F" w:rsidRPr="00173CFD" w:rsidRDefault="00173CFD" w:rsidP="00173CFD">
      <w:pPr>
        <w:numPr>
          <w:ilvl w:val="0"/>
          <w:numId w:val="14"/>
        </w:numPr>
        <w:spacing w:line="0" w:lineRule="atLeast"/>
        <w:ind w:left="2880"/>
        <w:jc w:val="both"/>
        <w:rPr>
          <w:rFonts w:ascii="Palatino Linotype" w:eastAsia="Arial" w:hAnsi="Palatino Linotype" w:cs="Times New Roman"/>
          <w:b/>
          <w:sz w:val="22"/>
        </w:rPr>
      </w:pPr>
      <w:bookmarkStart w:id="1" w:name="page3"/>
      <w:bookmarkEnd w:id="1"/>
      <w:r w:rsidRPr="00173CFD">
        <w:rPr>
          <w:rFonts w:ascii="Palatino Linotype" w:eastAsia="Arial" w:hAnsi="Palatino Linotype" w:cs="Times New Roman"/>
          <w:b/>
          <w:sz w:val="22"/>
        </w:rPr>
        <w:t>Introduction</w:t>
      </w:r>
    </w:p>
    <w:tbl>
      <w:tblPr>
        <w:tblpPr w:leftFromText="198" w:rightFromText="198" w:vertAnchor="page" w:horzAnchor="margin" w:tblpY="10683"/>
        <w:tblW w:w="2314" w:type="dxa"/>
        <w:tblLayout w:type="fixed"/>
        <w:tblCellMar>
          <w:left w:w="0" w:type="dxa"/>
          <w:right w:w="0" w:type="dxa"/>
        </w:tblCellMar>
        <w:tblLook w:val="04A0" w:firstRow="1" w:lastRow="0" w:firstColumn="1" w:lastColumn="0" w:noHBand="0" w:noVBand="1"/>
      </w:tblPr>
      <w:tblGrid>
        <w:gridCol w:w="2314"/>
      </w:tblGrid>
      <w:tr w:rsidR="00173CFD" w:rsidRPr="00AA2876" w:rsidTr="00173CFD">
        <w:trPr>
          <w:trHeight w:val="2794"/>
        </w:trPr>
        <w:tc>
          <w:tcPr>
            <w:tcW w:w="2314" w:type="dxa"/>
            <w:shd w:val="clear" w:color="auto" w:fill="auto"/>
          </w:tcPr>
          <w:p w:rsidR="00173CFD" w:rsidRPr="00AA2876" w:rsidRDefault="00D87E6D" w:rsidP="00173CFD">
            <w:pPr>
              <w:pStyle w:val="MDPI14history"/>
              <w:tabs>
                <w:tab w:val="left" w:pos="1260"/>
              </w:tabs>
              <w:spacing w:line="276" w:lineRule="auto"/>
              <w:ind w:left="90"/>
              <w:rPr>
                <w:rFonts w:eastAsia="SimSun" w:cs="SimSun"/>
                <w:szCs w:val="22"/>
              </w:rPr>
            </w:pPr>
            <w:r>
              <w:rPr>
                <w:szCs w:val="24"/>
              </w:rPr>
              <w:t xml:space="preserve">Received:   </w:t>
            </w:r>
            <w:r>
              <w:rPr>
                <w:szCs w:val="24"/>
              </w:rPr>
              <w:tab/>
              <w:t>12-01-2026</w:t>
            </w:r>
          </w:p>
          <w:p w:rsidR="00173CFD" w:rsidRPr="00AA2876" w:rsidRDefault="00D87E6D" w:rsidP="00173CFD">
            <w:pPr>
              <w:pStyle w:val="MDPI14history"/>
              <w:tabs>
                <w:tab w:val="left" w:pos="1260"/>
              </w:tabs>
              <w:spacing w:line="276" w:lineRule="auto"/>
              <w:ind w:left="90"/>
              <w:rPr>
                <w:szCs w:val="24"/>
              </w:rPr>
            </w:pPr>
            <w:r>
              <w:rPr>
                <w:szCs w:val="24"/>
              </w:rPr>
              <w:t xml:space="preserve">Revised:         </w:t>
            </w:r>
            <w:r>
              <w:rPr>
                <w:szCs w:val="24"/>
              </w:rPr>
              <w:tab/>
              <w:t>15-01-2026</w:t>
            </w:r>
          </w:p>
          <w:p w:rsidR="00173CFD" w:rsidRPr="00AA2876" w:rsidRDefault="00D87E6D" w:rsidP="00173CFD">
            <w:pPr>
              <w:pStyle w:val="MDPI14history"/>
              <w:tabs>
                <w:tab w:val="left" w:pos="1260"/>
              </w:tabs>
              <w:spacing w:line="276" w:lineRule="auto"/>
              <w:ind w:left="90"/>
              <w:rPr>
                <w:szCs w:val="24"/>
              </w:rPr>
            </w:pPr>
            <w:r>
              <w:rPr>
                <w:szCs w:val="24"/>
              </w:rPr>
              <w:t xml:space="preserve">Accepted      </w:t>
            </w:r>
            <w:r>
              <w:rPr>
                <w:szCs w:val="24"/>
              </w:rPr>
              <w:tab/>
              <w:t>05-02-2026</w:t>
            </w:r>
          </w:p>
          <w:p w:rsidR="00173CFD" w:rsidRPr="00AA2876" w:rsidRDefault="00D87E6D" w:rsidP="00173CFD">
            <w:pPr>
              <w:pStyle w:val="MDPI14history"/>
              <w:tabs>
                <w:tab w:val="left" w:pos="1260"/>
              </w:tabs>
              <w:spacing w:line="276" w:lineRule="auto"/>
              <w:ind w:left="90"/>
              <w:rPr>
                <w:szCs w:val="24"/>
              </w:rPr>
            </w:pPr>
            <w:r>
              <w:rPr>
                <w:szCs w:val="24"/>
              </w:rPr>
              <w:t xml:space="preserve">Published:   </w:t>
            </w:r>
            <w:r>
              <w:rPr>
                <w:szCs w:val="24"/>
              </w:rPr>
              <w:tab/>
              <w:t>25-02-2026</w:t>
            </w:r>
          </w:p>
          <w:p w:rsidR="00173CFD" w:rsidRPr="00AA2876" w:rsidRDefault="00D87E6D" w:rsidP="00173CFD">
            <w:pPr>
              <w:adjustRightInd w:val="0"/>
              <w:snapToGrid w:val="0"/>
              <w:spacing w:before="120"/>
              <w:ind w:right="113"/>
              <w:rPr>
                <w:rFonts w:ascii="Palatino Linotype" w:eastAsia="等线" w:hAnsi="Palatino Linotype"/>
                <w:bCs/>
                <w:sz w:val="14"/>
                <w:szCs w:val="14"/>
              </w:rPr>
            </w:pPr>
            <w:r>
              <w:rPr>
                <w:rFonts w:ascii="Palatino Linotype" w:eastAsia="等线" w:hAnsi="Palatino Linotype"/>
                <w:noProof/>
                <w:sz w:val="14"/>
              </w:rPr>
              <w:drawing>
                <wp:inline distT="0" distB="0" distL="0" distR="0">
                  <wp:extent cx="690880" cy="1809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0880" cy="180975"/>
                          </a:xfrm>
                          <a:prstGeom prst="rect">
                            <a:avLst/>
                          </a:prstGeom>
                          <a:noFill/>
                          <a:ln>
                            <a:noFill/>
                          </a:ln>
                        </pic:spPr>
                      </pic:pic>
                    </a:graphicData>
                  </a:graphic>
                </wp:inline>
              </w:drawing>
            </w:r>
          </w:p>
          <w:p w:rsidR="00173CFD" w:rsidRPr="00AA2876" w:rsidRDefault="00173CFD" w:rsidP="00173CFD">
            <w:pPr>
              <w:pStyle w:val="MDPI72Copyright"/>
              <w:spacing w:before="0" w:line="240" w:lineRule="auto"/>
              <w:rPr>
                <w:rFonts w:eastAsia="等线"/>
                <w:lang w:bidi="en-US"/>
              </w:rPr>
            </w:pPr>
            <w:r w:rsidRPr="00AA2876">
              <w:rPr>
                <w:rFonts w:eastAsia="等线"/>
                <w:b/>
                <w:lang w:bidi="en-US"/>
              </w:rPr>
              <w:t>Copyright:</w:t>
            </w:r>
            <w:r w:rsidR="00D87E6D">
              <w:rPr>
                <w:rFonts w:eastAsia="等线"/>
                <w:lang w:bidi="en-US"/>
              </w:rPr>
              <w:t>© 2026</w:t>
            </w:r>
            <w:r w:rsidRPr="00AA2876">
              <w:rPr>
                <w:rFonts w:eastAsia="等线"/>
                <w:lang w:bidi="en-US"/>
              </w:rPr>
              <w:t xml:space="preserve"> by the authors. Submitted for possible open access publication under the terms and conditions of the Creative Commons Attribution (CC BY) license (https://creativecommons.org/licenses/by/4.0/).</w:t>
            </w:r>
          </w:p>
        </w:tc>
      </w:tr>
    </w:tbl>
    <w:p w:rsidR="00173CFD"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Effective medications can offer better therapeutics for improving patients’ conditions, with which unpleasant responses to these drugs were usually accompanied. ADRs could influence individuals’ healthcare and also remain a major cause of readmitting hospitalization, which makes the patients bear an increasing burden of health care expenditure</w:t>
      </w:r>
      <w:r w:rsidRPr="00173CFD">
        <w:rPr>
          <w:rFonts w:ascii="Palatino Linotype" w:eastAsia="Arial" w:hAnsi="Palatino Linotype" w:cs="Times New Roman"/>
          <w:vertAlign w:val="superscript"/>
        </w:rPr>
        <w:t>1- 3</w:t>
      </w:r>
      <w:r w:rsidRPr="00173CFD">
        <w:rPr>
          <w:rFonts w:ascii="Palatino Linotype" w:eastAsia="Arial" w:hAnsi="Palatino Linotype" w:cs="Times New Roman"/>
        </w:rPr>
        <w:t>. ADRs are frequent, undesirable and unpredictable effect mainly due to the off-target effect of drug activity</w:t>
      </w:r>
      <w:r w:rsidRPr="00173CFD">
        <w:rPr>
          <w:rFonts w:ascii="Palatino Linotype" w:eastAsia="Arial" w:hAnsi="Palatino Linotype" w:cs="Times New Roman"/>
          <w:vertAlign w:val="superscript"/>
        </w:rPr>
        <w:t>4</w:t>
      </w:r>
      <w:r w:rsidRPr="00173CFD">
        <w:rPr>
          <w:rFonts w:ascii="Palatino Linotype" w:eastAsia="Arial" w:hAnsi="Palatino Linotype" w:cs="Times New Roman"/>
        </w:rPr>
        <w:t>.The overall incidence of ADRs ranges from 0.15-30%, but the hospital admission rate due to ADRs is over 20% in China</w:t>
      </w:r>
      <w:r w:rsidRPr="00173CFD">
        <w:rPr>
          <w:rFonts w:ascii="Palatino Linotype" w:eastAsia="Arial" w:hAnsi="Palatino Linotype" w:cs="Times New Roman"/>
          <w:vertAlign w:val="superscript"/>
        </w:rPr>
        <w:t>5-7</w:t>
      </w:r>
      <w:r w:rsidRPr="00173CFD">
        <w:rPr>
          <w:rFonts w:ascii="Palatino Linotype" w:eastAsia="Arial" w:hAnsi="Palatino Linotype" w:cs="Times New Roman"/>
        </w:rPr>
        <w:t xml:space="preserve">. Detecting and establishing preventive strategies against ADRs is crucial for patient safety. Previous </w:t>
      </w:r>
    </w:p>
    <w:p w:rsidR="00F0593F" w:rsidRDefault="00F0593F" w:rsidP="00173CFD">
      <w:pPr>
        <w:spacing w:line="0" w:lineRule="atLeast"/>
        <w:ind w:left="2520"/>
        <w:jc w:val="both"/>
        <w:rPr>
          <w:rFonts w:ascii="Palatino Linotype" w:eastAsia="Arial" w:hAnsi="Palatino Linotype" w:cs="Times New Roman"/>
        </w:rPr>
      </w:pPr>
      <w:proofErr w:type="gramStart"/>
      <w:r w:rsidRPr="00173CFD">
        <w:rPr>
          <w:rFonts w:ascii="Palatino Linotype" w:eastAsia="Arial" w:hAnsi="Palatino Linotype" w:cs="Times New Roman"/>
        </w:rPr>
        <w:t>studies</w:t>
      </w:r>
      <w:proofErr w:type="gramEnd"/>
      <w:r w:rsidRPr="00173CFD">
        <w:rPr>
          <w:rFonts w:ascii="Palatino Linotype" w:eastAsia="Arial" w:hAnsi="Palatino Linotype" w:cs="Times New Roman"/>
        </w:rPr>
        <w:t xml:space="preserve"> have shown that gender, age and drug combinations might be considered as the risk factors for ADRs</w:t>
      </w:r>
      <w:r w:rsidRPr="00173CFD">
        <w:rPr>
          <w:rFonts w:ascii="Palatino Linotype" w:eastAsia="Arial" w:hAnsi="Palatino Linotype" w:cs="Times New Roman"/>
          <w:vertAlign w:val="superscript"/>
        </w:rPr>
        <w:t>6, 8-11</w:t>
      </w:r>
      <w:r w:rsidRPr="00173CFD">
        <w:rPr>
          <w:rFonts w:ascii="Palatino Linotype" w:eastAsia="Arial" w:hAnsi="Palatino Linotype" w:cs="Times New Roman"/>
        </w:rPr>
        <w:t>. Increasing studies are focusing on the relationship between gender and ADRs because female appears to be more risk for many medications</w:t>
      </w:r>
      <w:r w:rsidRPr="00173CFD">
        <w:rPr>
          <w:rFonts w:ascii="Palatino Linotype" w:eastAsia="Arial" w:hAnsi="Palatino Linotype" w:cs="Times New Roman"/>
          <w:vertAlign w:val="superscript"/>
        </w:rPr>
        <w:t>9</w:t>
      </w:r>
      <w:proofErr w:type="gramStart"/>
      <w:r w:rsidRPr="00173CFD">
        <w:rPr>
          <w:rFonts w:ascii="Palatino Linotype" w:eastAsia="Arial" w:hAnsi="Palatino Linotype" w:cs="Times New Roman"/>
          <w:vertAlign w:val="superscript"/>
        </w:rPr>
        <w:t>,12,13</w:t>
      </w:r>
      <w:proofErr w:type="gramEnd"/>
      <w:r w:rsidRPr="00173CFD">
        <w:rPr>
          <w:rFonts w:ascii="Palatino Linotype" w:eastAsia="Arial" w:hAnsi="Palatino Linotype" w:cs="Times New Roman"/>
        </w:rPr>
        <w:t>. Hormone-related physiological changes lead to increase sensitivity to drug effects and limited evidence of drug effectiveness and safety in female patients</w:t>
      </w:r>
      <w:r w:rsidRPr="00173CFD">
        <w:rPr>
          <w:rFonts w:ascii="Palatino Linotype" w:eastAsia="Arial" w:hAnsi="Palatino Linotype" w:cs="Times New Roman"/>
          <w:vertAlign w:val="superscript"/>
        </w:rPr>
        <w:t>14</w:t>
      </w:r>
      <w:proofErr w:type="gramStart"/>
      <w:r w:rsidRPr="00173CFD">
        <w:rPr>
          <w:rFonts w:ascii="Palatino Linotype" w:eastAsia="Arial" w:hAnsi="Palatino Linotype" w:cs="Times New Roman"/>
          <w:vertAlign w:val="superscript"/>
        </w:rPr>
        <w:t>,15</w:t>
      </w:r>
      <w:proofErr w:type="gramEnd"/>
      <w:r w:rsidRPr="00173CFD">
        <w:rPr>
          <w:rFonts w:ascii="Palatino Linotype" w:eastAsia="Arial" w:hAnsi="Palatino Linotype" w:cs="Times New Roman"/>
        </w:rPr>
        <w:t>. However, drug safety in female individuals remained unclear.</w:t>
      </w:r>
    </w:p>
    <w:p w:rsidR="00173CFD" w:rsidRPr="00173CFD" w:rsidRDefault="00173CFD" w:rsidP="00173CFD">
      <w:pPr>
        <w:spacing w:line="0" w:lineRule="atLeast"/>
        <w:ind w:left="2520"/>
        <w:jc w:val="both"/>
        <w:rPr>
          <w:rFonts w:ascii="Palatino Linotype" w:eastAsia="Arial"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 xml:space="preserve">So this paper based on a retrospective study aims to address the question that what specific characteristics of female-gender-based ADRs happened in </w:t>
      </w:r>
      <w:proofErr w:type="spellStart"/>
      <w:r w:rsidRPr="00173CFD">
        <w:rPr>
          <w:rFonts w:ascii="Palatino Linotype" w:eastAsia="Arial" w:hAnsi="Palatino Linotype" w:cs="Times New Roman"/>
        </w:rPr>
        <w:t>gynaecology</w:t>
      </w:r>
      <w:proofErr w:type="spellEnd"/>
      <w:r w:rsidRPr="00173CFD">
        <w:rPr>
          <w:rFonts w:ascii="Palatino Linotype" w:eastAsia="Arial" w:hAnsi="Palatino Linotype" w:cs="Times New Roman"/>
        </w:rPr>
        <w:t xml:space="preserve"> and obstetrics hospital, concerning risk factors such as subjects’ age, kinds of prescribed drugs, especially traditional Chinese medicine, a combination of drugs and interventions.</w:t>
      </w:r>
    </w:p>
    <w:p w:rsidR="00F0593F" w:rsidRPr="00173CFD" w:rsidRDefault="00173CFD" w:rsidP="00173CFD">
      <w:pPr>
        <w:numPr>
          <w:ilvl w:val="0"/>
          <w:numId w:val="14"/>
        </w:numPr>
        <w:spacing w:line="0" w:lineRule="atLeast"/>
        <w:ind w:left="2880"/>
        <w:jc w:val="both"/>
        <w:rPr>
          <w:rFonts w:ascii="Palatino Linotype" w:eastAsia="Arial" w:hAnsi="Palatino Linotype" w:cs="Times New Roman"/>
          <w:b/>
          <w:sz w:val="22"/>
        </w:rPr>
      </w:pPr>
      <w:r w:rsidRPr="00173CFD">
        <w:rPr>
          <w:rFonts w:ascii="Palatino Linotype" w:eastAsia="Arial" w:hAnsi="Palatino Linotype" w:cs="Times New Roman"/>
          <w:b/>
          <w:sz w:val="22"/>
        </w:rPr>
        <w:t>Materials And Methods</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lastRenderedPageBreak/>
        <w:t>Setting and study patients:</w:t>
      </w:r>
      <w:r w:rsidRPr="00173CFD">
        <w:rPr>
          <w:rFonts w:ascii="Palatino Linotype" w:eastAsia="Arial" w:hAnsi="Palatino Linotype" w:cs="Times New Roman"/>
        </w:rPr>
        <w:t xml:space="preserve"> A retrospective analysis of ADRs was performed at the Obstetrics and Gynecology Hospital of </w:t>
      </w:r>
      <w:proofErr w:type="spellStart"/>
      <w:r w:rsidRPr="00173CFD">
        <w:rPr>
          <w:rFonts w:ascii="Palatino Linotype" w:eastAsia="Arial" w:hAnsi="Palatino Linotype" w:cs="Times New Roman"/>
        </w:rPr>
        <w:t>Fudan</w:t>
      </w:r>
      <w:proofErr w:type="spellEnd"/>
      <w:r w:rsidRPr="00173CFD">
        <w:rPr>
          <w:rFonts w:ascii="Palatino Linotype" w:eastAsia="Arial" w:hAnsi="Palatino Linotype" w:cs="Times New Roman"/>
        </w:rPr>
        <w:t xml:space="preserve"> University from January, 2010-October, 2015. Informed consent of participants was not required as the retrospective study design did not affect the healthcare of included patients. This study was carried out at the 840-bed academic, tertiary level women’s hospital nationwide. So the source of female patients was stable and the patterns of ADRs were always concerned with </w:t>
      </w:r>
      <w:proofErr w:type="spellStart"/>
      <w:r w:rsidRPr="00173CFD">
        <w:rPr>
          <w:rFonts w:ascii="Palatino Linotype" w:eastAsia="Arial" w:hAnsi="Palatino Linotype" w:cs="Times New Roman"/>
        </w:rPr>
        <w:t>multiformity</w:t>
      </w:r>
      <w:proofErr w:type="spellEnd"/>
      <w:r w:rsidRPr="00173CFD">
        <w:rPr>
          <w:rFonts w:ascii="Palatino Linotype" w:eastAsia="Arial" w:hAnsi="Palatino Linotype" w:cs="Times New Roman"/>
        </w:rPr>
        <w:t xml:space="preserve">. This study has been approved by the Ethics Committee of Obstetrics and Gynecology Hospital, </w:t>
      </w:r>
      <w:proofErr w:type="spellStart"/>
      <w:r w:rsidRPr="00173CFD">
        <w:rPr>
          <w:rFonts w:ascii="Palatino Linotype" w:eastAsia="Arial" w:hAnsi="Palatino Linotype" w:cs="Times New Roman"/>
        </w:rPr>
        <w:t>Fudan</w:t>
      </w:r>
      <w:proofErr w:type="spellEnd"/>
      <w:r w:rsidRPr="00173CFD">
        <w:rPr>
          <w:rFonts w:ascii="Palatino Linotype" w:eastAsia="Arial" w:hAnsi="Palatino Linotype" w:cs="Times New Roman"/>
        </w:rPr>
        <w:t xml:space="preserve"> University.</w:t>
      </w:r>
    </w:p>
    <w:p w:rsidR="0014616C" w:rsidRPr="00173CFD" w:rsidRDefault="0014616C" w:rsidP="00173CFD">
      <w:pPr>
        <w:spacing w:line="0" w:lineRule="atLeast"/>
        <w:ind w:left="2520"/>
        <w:jc w:val="both"/>
        <w:rPr>
          <w:rFonts w:ascii="Palatino Linotype" w:eastAsia="Arial" w:hAnsi="Palatino Linotype" w:cs="Times New Roman"/>
        </w:rPr>
      </w:pPr>
    </w:p>
    <w:p w:rsidR="00F0593F"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t>Data collection:</w:t>
      </w:r>
      <w:r w:rsidRPr="00173CFD">
        <w:rPr>
          <w:rFonts w:ascii="Palatino Linotype" w:eastAsia="Arial" w:hAnsi="Palatino Linotype" w:cs="Times New Roman"/>
        </w:rPr>
        <w:t xml:space="preserve"> All data, which have been collected and reported to the national spontaneous ADR reporting system, were recorded by a trained medical team including two experienced pharmacists and ten experienced doctors. The practice training was based on the principle that pharmacists and doctors learned most and made them realistic by practical assignments</w:t>
      </w:r>
      <w:r w:rsidRPr="00173CFD">
        <w:rPr>
          <w:rFonts w:ascii="Palatino Linotype" w:eastAsia="Arial" w:hAnsi="Palatino Linotype" w:cs="Times New Roman"/>
          <w:vertAlign w:val="superscript"/>
        </w:rPr>
        <w:t>16</w:t>
      </w:r>
      <w:proofErr w:type="gramStart"/>
      <w:r w:rsidRPr="00173CFD">
        <w:rPr>
          <w:rFonts w:ascii="Palatino Linotype" w:eastAsia="Arial" w:hAnsi="Palatino Linotype" w:cs="Times New Roman"/>
          <w:vertAlign w:val="superscript"/>
        </w:rPr>
        <w:t>,17</w:t>
      </w:r>
      <w:proofErr w:type="gramEnd"/>
      <w:r w:rsidRPr="00173CFD">
        <w:rPr>
          <w:rFonts w:ascii="Palatino Linotype" w:eastAsia="Arial" w:hAnsi="Palatino Linotype" w:cs="Times New Roman"/>
        </w:rPr>
        <w:t>. These made sure that once the suspected</w:t>
      </w:r>
    </w:p>
    <w:p w:rsidR="00F0593F" w:rsidRPr="00173CFD" w:rsidRDefault="00D87E6D" w:rsidP="00173CFD">
      <w:pPr>
        <w:spacing w:line="0" w:lineRule="atLeast"/>
        <w:ind w:left="2520"/>
        <w:jc w:val="center"/>
        <w:rPr>
          <w:rFonts w:ascii="Palatino Linotype" w:eastAsia="Times New Roman" w:hAnsi="Palatino Linotype" w:cs="Times New Roman"/>
        </w:rPr>
      </w:pPr>
      <w:r>
        <w:rPr>
          <w:rFonts w:ascii="Palatino Linotype" w:eastAsia="Arial" w:hAnsi="Palatino Linotype" w:cs="Times New Roman"/>
          <w:noProof/>
        </w:rPr>
        <w:drawing>
          <wp:inline distT="0" distB="0" distL="0" distR="0">
            <wp:extent cx="3168650" cy="1584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68650" cy="1584325"/>
                    </a:xfrm>
                    <a:prstGeom prst="rect">
                      <a:avLst/>
                    </a:prstGeom>
                    <a:noFill/>
                    <a:ln>
                      <a:noFill/>
                    </a:ln>
                  </pic:spPr>
                </pic:pic>
              </a:graphicData>
            </a:graphic>
          </wp:inline>
        </w:drawing>
      </w:r>
    </w:p>
    <w:p w:rsidR="00F0593F" w:rsidRPr="00173CFD" w:rsidRDefault="00F0593F" w:rsidP="00173CFD">
      <w:pPr>
        <w:spacing w:line="0" w:lineRule="atLeast"/>
        <w:ind w:left="2520"/>
        <w:jc w:val="center"/>
        <w:rPr>
          <w:rFonts w:ascii="Palatino Linotype" w:eastAsia="Arial" w:hAnsi="Palatino Linotype" w:cs="Times New Roman"/>
        </w:rPr>
      </w:pPr>
      <w:r w:rsidRPr="00173CFD">
        <w:rPr>
          <w:rFonts w:ascii="Palatino Linotype" w:eastAsia="Arial" w:hAnsi="Palatino Linotype" w:cs="Times New Roman"/>
        </w:rPr>
        <w:t>Fig. 1: Procedures of the ADRs’ surveillance</w:t>
      </w:r>
    </w:p>
    <w:p w:rsidR="00F0593F" w:rsidRPr="00173CFD" w:rsidRDefault="00F0593F" w:rsidP="00173CFD">
      <w:pPr>
        <w:spacing w:line="0" w:lineRule="atLeast"/>
        <w:ind w:left="2520"/>
        <w:jc w:val="both"/>
        <w:rPr>
          <w:rFonts w:ascii="Palatino Linotype" w:eastAsia="Times New Roman" w:hAnsi="Palatino Linotype" w:cs="Times New Roman"/>
        </w:rPr>
      </w:pPr>
    </w:p>
    <w:p w:rsidR="0014616C" w:rsidRPr="00173CFD" w:rsidRDefault="0014616C" w:rsidP="00173CFD">
      <w:pPr>
        <w:spacing w:line="0" w:lineRule="atLeast"/>
        <w:ind w:left="2520"/>
        <w:jc w:val="both"/>
        <w:rPr>
          <w:rFonts w:ascii="Palatino Linotype" w:eastAsia="Arial" w:hAnsi="Palatino Linotype" w:cs="Times New Roman"/>
        </w:rPr>
        <w:sectPr w:rsidR="0014616C" w:rsidRPr="00173CFD" w:rsidSect="00173CFD">
          <w:type w:val="continuous"/>
          <w:pgSz w:w="11909" w:h="16834" w:code="9"/>
          <w:pgMar w:top="1440" w:right="720" w:bottom="720" w:left="720" w:header="720" w:footer="346" w:gutter="0"/>
          <w:cols w:space="0"/>
          <w:docGrid w:linePitch="360"/>
        </w:sect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 xml:space="preserve">ADRs happened in inpatients or spontaneous reported by outpatients in the </w:t>
      </w:r>
      <w:proofErr w:type="spellStart"/>
      <w:r w:rsidRPr="00173CFD">
        <w:rPr>
          <w:rFonts w:ascii="Palatino Linotype" w:eastAsia="Arial" w:hAnsi="Palatino Linotype" w:cs="Times New Roman"/>
        </w:rPr>
        <w:t>gynaecology</w:t>
      </w:r>
      <w:proofErr w:type="spellEnd"/>
      <w:r w:rsidRPr="00173CFD">
        <w:rPr>
          <w:rFonts w:ascii="Palatino Linotype" w:eastAsia="Arial" w:hAnsi="Palatino Linotype" w:cs="Times New Roman"/>
        </w:rPr>
        <w:t xml:space="preserve"> and obstetrics hospital, </w:t>
      </w:r>
      <w:proofErr w:type="spellStart"/>
      <w:r w:rsidRPr="00173CFD">
        <w:rPr>
          <w:rFonts w:ascii="Palatino Linotype" w:eastAsia="Arial" w:hAnsi="Palatino Linotype" w:cs="Times New Roman"/>
        </w:rPr>
        <w:t>pharmacovigilance</w:t>
      </w:r>
      <w:proofErr w:type="spellEnd"/>
      <w:r w:rsidRPr="00173CFD">
        <w:rPr>
          <w:rFonts w:ascii="Palatino Linotype" w:eastAsia="Arial" w:hAnsi="Palatino Linotype" w:cs="Times New Roman"/>
        </w:rPr>
        <w:t xml:space="preserve"> studies could be started in time. Specialized assessments were performed by well-trained pharmacists and doctors. If there was a discrepancy, a high level of physicians and pharmacists would be consulted to reach a coincidence. We set up drug </w:t>
      </w:r>
      <w:proofErr w:type="spellStart"/>
      <w:r w:rsidRPr="00173CFD">
        <w:rPr>
          <w:rFonts w:ascii="Palatino Linotype" w:eastAsia="Arial" w:hAnsi="Palatino Linotype" w:cs="Times New Roman"/>
        </w:rPr>
        <w:t>counselling</w:t>
      </w:r>
      <w:proofErr w:type="spellEnd"/>
      <w:r w:rsidRPr="00173CFD">
        <w:rPr>
          <w:rFonts w:ascii="Palatino Linotype" w:eastAsia="Arial" w:hAnsi="Palatino Linotype" w:cs="Times New Roman"/>
        </w:rPr>
        <w:t xml:space="preserve"> windows and telephone hotlines to monitor the outpatients’ ADRs that happened in the clinics or communities. As to the hospitalizations, pharmacists reviewed the entire drug treatments when taking pharmacy rounds every day (Fig. 1). Each patient with suspected ADRs has put intimately observed and updated daily until recovery from the ADR, including information on patient characteristics (age, allergic history, physical status, etc.). ADRs were evaluated based on the WHO-Uppsala Monitoring Center criteria</w:t>
      </w:r>
      <w:r w:rsidRPr="00173CFD">
        <w:rPr>
          <w:rFonts w:ascii="Palatino Linotype" w:eastAsia="Arial" w:hAnsi="Palatino Linotype" w:cs="Times New Roman"/>
          <w:vertAlign w:val="superscript"/>
        </w:rPr>
        <w:t>18</w:t>
      </w:r>
      <w:r w:rsidRPr="00173CFD">
        <w:rPr>
          <w:rFonts w:ascii="Palatino Linotype" w:eastAsia="Arial" w:hAnsi="Palatino Linotype" w:cs="Times New Roman"/>
        </w:rPr>
        <w:t xml:space="preserve">. Subject markers of ADRs through patient notes (named according to the Adverse Reaction Terminology (ART) of the WHO ADR Monitoring Register in Uppsala (WHO-ART), the latency of ADR’s onset (calculated from the beginning of suspected medication to the immediate occurrence of ADRs), medical interventions and the duration of </w:t>
      </w:r>
      <w:proofErr w:type="gramStart"/>
      <w:r w:rsidRPr="00173CFD">
        <w:rPr>
          <w:rFonts w:ascii="Palatino Linotype" w:eastAsia="Arial" w:hAnsi="Palatino Linotype" w:cs="Times New Roman"/>
        </w:rPr>
        <w:t>ADR(</w:t>
      </w:r>
      <w:proofErr w:type="gramEnd"/>
      <w:r w:rsidRPr="00173CFD">
        <w:rPr>
          <w:rFonts w:ascii="Palatino Linotype" w:eastAsia="Arial" w:hAnsi="Palatino Linotype" w:cs="Times New Roman"/>
        </w:rPr>
        <w:t>counted from the immediate occurrence of ADRs to the point of recovery from ADRs).</w:t>
      </w:r>
    </w:p>
    <w:p w:rsidR="00F0593F" w:rsidRPr="00173CFD" w:rsidRDefault="00F0593F" w:rsidP="00173CFD">
      <w:pPr>
        <w:spacing w:line="0" w:lineRule="atLeast"/>
        <w:ind w:left="2520"/>
        <w:jc w:val="both"/>
        <w:rPr>
          <w:rFonts w:ascii="Palatino Linotype" w:eastAsia="Times New Roman"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t>Statistical methods</w:t>
      </w:r>
      <w:r w:rsidRPr="00173CFD">
        <w:rPr>
          <w:rFonts w:ascii="Palatino Linotype" w:eastAsia="Arial" w:hAnsi="Palatino Linotype" w:cs="Times New Roman"/>
        </w:rPr>
        <w:t>: Results are given in terms of the Hazard Ratio (HR) for a particular factor with an accompanying 95% confidence interval (95% CI). Regression analysis via the Cox proportional hazards model was performed to assess independent predictive variables against the latency of ADR as the outcome variable. STATA (version13) statistical software was used for the Cox proportional hazards model analysis. In addition, the Kaplan-Meier survival curve was performed to evaluate patient survival of ADR recovery. A p&lt;0.05 was considered as a statistical significance.</w:t>
      </w:r>
    </w:p>
    <w:p w:rsidR="0014616C" w:rsidRDefault="0014616C" w:rsidP="00173CFD">
      <w:pPr>
        <w:spacing w:line="0" w:lineRule="atLeast"/>
        <w:ind w:left="2520"/>
        <w:jc w:val="both"/>
        <w:rPr>
          <w:rFonts w:ascii="Palatino Linotype" w:eastAsia="Arial" w:hAnsi="Palatino Linotype" w:cs="Times New Roman"/>
        </w:rPr>
      </w:pPr>
    </w:p>
    <w:p w:rsidR="0024694E" w:rsidRDefault="0024694E" w:rsidP="00173CFD">
      <w:pPr>
        <w:spacing w:line="0" w:lineRule="atLeast"/>
        <w:ind w:left="2520"/>
        <w:jc w:val="both"/>
        <w:rPr>
          <w:rFonts w:ascii="Palatino Linotype" w:eastAsia="Arial" w:hAnsi="Palatino Linotype" w:cs="Times New Roman"/>
        </w:rPr>
      </w:pPr>
    </w:p>
    <w:p w:rsidR="0024694E" w:rsidRPr="00173CFD" w:rsidRDefault="0024694E" w:rsidP="00173CFD">
      <w:pPr>
        <w:spacing w:line="0" w:lineRule="atLeast"/>
        <w:ind w:left="2520"/>
        <w:jc w:val="both"/>
        <w:rPr>
          <w:rFonts w:ascii="Palatino Linotype" w:eastAsia="Arial" w:hAnsi="Palatino Linotype" w:cs="Times New Roman"/>
        </w:rPr>
      </w:pPr>
    </w:p>
    <w:p w:rsidR="00F0593F" w:rsidRPr="00173CFD" w:rsidRDefault="00173CFD" w:rsidP="00173CFD">
      <w:pPr>
        <w:numPr>
          <w:ilvl w:val="0"/>
          <w:numId w:val="14"/>
        </w:numPr>
        <w:spacing w:line="0" w:lineRule="atLeast"/>
        <w:ind w:left="2880"/>
        <w:jc w:val="both"/>
        <w:rPr>
          <w:rFonts w:ascii="Palatino Linotype" w:eastAsia="Arial" w:hAnsi="Palatino Linotype" w:cs="Times New Roman"/>
          <w:b/>
          <w:sz w:val="22"/>
        </w:rPr>
      </w:pPr>
      <w:r w:rsidRPr="00173CFD">
        <w:rPr>
          <w:rFonts w:ascii="Palatino Linotype" w:eastAsia="Arial" w:hAnsi="Palatino Linotype" w:cs="Times New Roman"/>
          <w:b/>
          <w:sz w:val="22"/>
        </w:rPr>
        <w:t>Results</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t>Patient characteristics and ADRs:</w:t>
      </w:r>
      <w:r w:rsidRPr="00173CFD">
        <w:rPr>
          <w:rFonts w:ascii="Palatino Linotype" w:eastAsia="Arial" w:hAnsi="Palatino Linotype" w:cs="Times New Roman"/>
        </w:rPr>
        <w:t xml:space="preserve"> A total of 357 ADRs were enrolled and 134(37.54%) patients experienced at least one ADR. The subject variables such as age, allergy histories, source of the patients and other presentations are overviewed in Table 1. The younger female patients were more likely to experience ADRs (n = 221, 61.91%). The most frequent ADRs were rash, perineum, vulva or vaginal uncomfortable and nausea, which affected the digestive system (29.1%), skin and appending system (26.37%) and female reproductive system (12.89%) </w:t>
      </w:r>
      <w:proofErr w:type="gramStart"/>
      <w:r w:rsidRPr="00173CFD">
        <w:rPr>
          <w:rFonts w:ascii="Palatino Linotype" w:eastAsia="Arial" w:hAnsi="Palatino Linotype" w:cs="Times New Roman"/>
        </w:rPr>
        <w:t>(Table 2).</w:t>
      </w:r>
      <w:proofErr w:type="gramEnd"/>
      <w:r w:rsidRPr="00173CFD">
        <w:rPr>
          <w:rFonts w:ascii="Palatino Linotype" w:eastAsia="Arial" w:hAnsi="Palatino Linotype" w:cs="Times New Roman"/>
        </w:rPr>
        <w:t xml:space="preserve"> The four classes of drugs followed-up were patent medicines of TCM which were responsible for over one-half of all ADRs (55.74%), antimicrobial agents (20.45%), female reproductive system agents (12.32%) and anti-</w:t>
      </w:r>
      <w:proofErr w:type="spellStart"/>
      <w:r w:rsidRPr="00173CFD">
        <w:rPr>
          <w:rFonts w:ascii="Palatino Linotype" w:eastAsia="Arial" w:hAnsi="Palatino Linotype" w:cs="Times New Roman"/>
        </w:rPr>
        <w:t>tumour</w:t>
      </w:r>
      <w:proofErr w:type="spellEnd"/>
      <w:r w:rsidRPr="00173CFD">
        <w:rPr>
          <w:rFonts w:ascii="Palatino Linotype" w:eastAsia="Arial" w:hAnsi="Palatino Linotype" w:cs="Times New Roman"/>
        </w:rPr>
        <w:t xml:space="preserve"> agents (11.49%) (Table3). </w:t>
      </w:r>
      <w:proofErr w:type="spellStart"/>
      <w:r w:rsidRPr="00173CFD">
        <w:rPr>
          <w:rFonts w:ascii="Palatino Linotype" w:eastAsia="Arial" w:hAnsi="Palatino Linotype" w:cs="Times New Roman"/>
        </w:rPr>
        <w:t>Bao</w:t>
      </w:r>
      <w:proofErr w:type="spellEnd"/>
      <w:r w:rsidRPr="00173CFD">
        <w:rPr>
          <w:rFonts w:ascii="Palatino Linotype" w:eastAsia="Arial" w:hAnsi="Palatino Linotype" w:cs="Times New Roman"/>
        </w:rPr>
        <w:t xml:space="preserve"> Fu Kang suppository (26 ADRs), Xiao Jin pill (21 ADRs) and </w:t>
      </w:r>
      <w:proofErr w:type="spellStart"/>
      <w:r w:rsidRPr="00173CFD">
        <w:rPr>
          <w:rFonts w:ascii="Palatino Linotype" w:eastAsia="Arial" w:hAnsi="Palatino Linotype" w:cs="Times New Roman"/>
        </w:rPr>
        <w:t>KunTai</w:t>
      </w:r>
      <w:proofErr w:type="spellEnd"/>
      <w:r w:rsidRPr="00173CFD">
        <w:rPr>
          <w:rFonts w:ascii="Palatino Linotype" w:eastAsia="Arial" w:hAnsi="Palatino Linotype" w:cs="Times New Roman"/>
        </w:rPr>
        <w:t xml:space="preserve"> capsule (16 ADRs) were chosen for categorizing as patent medicines of TCM because they were reported as the most frequent causative drugs to ADRs.</w:t>
      </w:r>
    </w:p>
    <w:p w:rsidR="00F0593F" w:rsidRPr="00173CFD" w:rsidRDefault="00F0593F" w:rsidP="00173CFD">
      <w:pPr>
        <w:spacing w:line="0" w:lineRule="atLeast"/>
        <w:ind w:left="2520"/>
        <w:jc w:val="both"/>
        <w:rPr>
          <w:rFonts w:ascii="Palatino Linotype" w:eastAsia="Times New Roman" w:hAnsi="Palatino Linotype" w:cs="Times New Roman"/>
        </w:rPr>
      </w:pPr>
    </w:p>
    <w:p w:rsidR="00F0593F"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t>Latent periods of ADRs</w:t>
      </w:r>
      <w:r w:rsidRPr="00173CFD">
        <w:rPr>
          <w:rFonts w:ascii="Palatino Linotype" w:eastAsia="Arial" w:hAnsi="Palatino Linotype" w:cs="Times New Roman"/>
        </w:rPr>
        <w:t>: The latency of ADR’s onset in patients ranged from several seconds to a couple of days and0.5-24 hrs was the most frequently (n = 190, 53.22%) in general. In the four groups of medicine categories as indicated, followed up data indicated that the mean latency period in a group of anti-</w:t>
      </w:r>
      <w:proofErr w:type="spellStart"/>
      <w:r w:rsidRPr="00173CFD">
        <w:rPr>
          <w:rFonts w:ascii="Palatino Linotype" w:eastAsia="Arial" w:hAnsi="Palatino Linotype" w:cs="Times New Roman"/>
        </w:rPr>
        <w:t>tumour</w:t>
      </w:r>
      <w:proofErr w:type="spellEnd"/>
      <w:r w:rsidRPr="00173CFD">
        <w:rPr>
          <w:rFonts w:ascii="Palatino Linotype" w:eastAsia="Arial" w:hAnsi="Palatino Linotype" w:cs="Times New Roman"/>
        </w:rPr>
        <w:t xml:space="preserve"> agents with a maximum was 53.06±16.85 hrs and a minimum of 20.89±3.20 hrs was observed in a group of patent medicines of TCM. The Group of antibiotics was 29.34±11.98 hrs and the group of female reproductive system agents was 44.95±13.47 hrs, respectively (Table 4), which offer us the crucial period to attend the ADR of different medicine.</w:t>
      </w:r>
    </w:p>
    <w:p w:rsidR="00173CFD" w:rsidRPr="00173CFD" w:rsidRDefault="00173CFD" w:rsidP="00173CFD">
      <w:pPr>
        <w:spacing w:line="0" w:lineRule="atLeast"/>
        <w:ind w:left="2520"/>
        <w:jc w:val="both"/>
        <w:rPr>
          <w:rFonts w:ascii="Palatino Linotype" w:eastAsia="Arial"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Then we investigated the relationship between ages, source of patients, previous allergy histories, medications (single medication or multi-medications), course of medications and a group of suspected drugs in female patients and the duration period of ADRs. We found that both age and allergy histories were positively correlated with the duration period of ADRs (hazard ratio HR 2.919, 95% CI 1.049-8.124 and HR 4.107, 95% CI 1.478-11.410). In addition, we detected a significantly and inversely association between suspected drugs and increased duration of ADR (HR 0.365, 95% CI 0.159-0.834) (Table 5).</w:t>
      </w:r>
    </w:p>
    <w:p w:rsidR="00F0593F" w:rsidRPr="00173CFD" w:rsidRDefault="00F0593F" w:rsidP="00173CFD">
      <w:pPr>
        <w:spacing w:line="0" w:lineRule="atLeast"/>
        <w:ind w:left="2520"/>
        <w:jc w:val="both"/>
        <w:rPr>
          <w:rFonts w:ascii="Palatino Linotype" w:eastAsia="Times New Roman"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b/>
        </w:rPr>
        <w:t>ADRs’ outcome</w:t>
      </w:r>
      <w:r w:rsidRPr="00173CFD">
        <w:rPr>
          <w:rFonts w:ascii="Palatino Linotype" w:eastAsia="Arial" w:hAnsi="Palatino Linotype" w:cs="Times New Roman"/>
        </w:rPr>
        <w:t>: We also performed two weeks follow-up to assess the relationship between intervention-positive patients and intervention-negative patients after ADRs happened.</w:t>
      </w:r>
    </w:p>
    <w:p w:rsidR="0014616C" w:rsidRPr="00173CFD" w:rsidRDefault="0014616C" w:rsidP="00173CFD">
      <w:pPr>
        <w:spacing w:line="0" w:lineRule="atLeast"/>
        <w:ind w:left="2520"/>
        <w:jc w:val="both"/>
        <w:rPr>
          <w:rFonts w:ascii="Palatino Linotype" w:eastAsia="Times New Roman" w:hAnsi="Palatino Linotype" w:cs="Times New Roman"/>
        </w:rPr>
        <w:sectPr w:rsidR="0014616C" w:rsidRPr="00173CFD" w:rsidSect="00173CFD">
          <w:type w:val="continuous"/>
          <w:pgSz w:w="11909" w:h="16834" w:code="9"/>
          <w:pgMar w:top="1440" w:right="720" w:bottom="720" w:left="720" w:header="720" w:footer="346" w:gutter="0"/>
          <w:cols w:space="569"/>
          <w:docGrid w:linePitch="360"/>
        </w:sectPr>
      </w:pPr>
    </w:p>
    <w:p w:rsidR="00F0593F" w:rsidRPr="00173CFD" w:rsidRDefault="00D87E6D" w:rsidP="00173CFD">
      <w:pPr>
        <w:spacing w:line="0" w:lineRule="atLeast"/>
        <w:ind w:left="2520"/>
        <w:jc w:val="center"/>
        <w:rPr>
          <w:rFonts w:ascii="Palatino Linotype" w:eastAsia="Times New Roman" w:hAnsi="Palatino Linotype" w:cs="Times New Roman"/>
        </w:rPr>
      </w:pPr>
      <w:r>
        <w:rPr>
          <w:rFonts w:ascii="Palatino Linotype" w:eastAsia="Times New Roman" w:hAnsi="Palatino Linotype" w:cs="Times New Roman"/>
          <w:noProof/>
        </w:rPr>
        <w:drawing>
          <wp:inline distT="0" distB="0" distL="0" distR="0">
            <wp:extent cx="3211195" cy="273240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11195" cy="2732405"/>
                    </a:xfrm>
                    <a:prstGeom prst="rect">
                      <a:avLst/>
                    </a:prstGeom>
                    <a:noFill/>
                    <a:ln>
                      <a:noFill/>
                    </a:ln>
                  </pic:spPr>
                </pic:pic>
              </a:graphicData>
            </a:graphic>
          </wp:inline>
        </w:drawing>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Fig. 2: Kaplan-Meier curve for ADR-free survival in the presence of medical intervention</w:t>
      </w:r>
    </w:p>
    <w:p w:rsidR="0014616C" w:rsidRPr="00173CFD" w:rsidRDefault="0014616C" w:rsidP="00173CFD">
      <w:pPr>
        <w:spacing w:line="0" w:lineRule="atLeast"/>
        <w:ind w:left="2520"/>
        <w:jc w:val="both"/>
        <w:rPr>
          <w:rFonts w:ascii="Palatino Linotype" w:eastAsia="Arial" w:hAnsi="Palatino Linotype" w:cs="Times New Roman"/>
        </w:rPr>
        <w:sectPr w:rsidR="0014616C" w:rsidRPr="00173CFD" w:rsidSect="00173CFD">
          <w:type w:val="continuous"/>
          <w:pgSz w:w="11909" w:h="16834" w:code="9"/>
          <w:pgMar w:top="1440" w:right="720" w:bottom="720" w:left="720" w:header="720" w:footer="346" w:gutter="0"/>
          <w:cols w:space="0"/>
          <w:docGrid w:linePitch="360"/>
        </w:sect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Among all 348 patients, 261 patients have received no treatments except drug withdrawal (non-intervention group), while 87 patients took additional ADR-related treatments (intervention group), such as antihistamines, glucocorticoids, NSAIDs or other medical therapies to recover (Table 6). There was statistical significance in the ADR duration between the non-intervention group and intervention group (Chi-square 5.6, p = 0.018), which indicated that medical treatments for ADRs were effective for earlier recovery compared with no intervention patients (Fig. 2).</w:t>
      </w:r>
    </w:p>
    <w:p w:rsidR="0014616C" w:rsidRPr="00173CFD" w:rsidRDefault="0014616C" w:rsidP="00173CFD">
      <w:pPr>
        <w:spacing w:line="0" w:lineRule="atLeast"/>
        <w:jc w:val="both"/>
        <w:rPr>
          <w:rFonts w:ascii="Palatino Linotype" w:eastAsia="Arial" w:hAnsi="Palatino Linotype" w:cs="Times New Roman"/>
        </w:rPr>
        <w:sectPr w:rsidR="0014616C" w:rsidRPr="00173CFD" w:rsidSect="00173CFD">
          <w:type w:val="continuous"/>
          <w:pgSz w:w="11909" w:h="16834" w:code="9"/>
          <w:pgMar w:top="1440" w:right="720" w:bottom="720" w:left="720" w:header="720" w:footer="346" w:gutter="0"/>
          <w:cols w:space="569"/>
          <w:docGrid w:linePitch="360"/>
        </w:sectPr>
      </w:pPr>
    </w:p>
    <w:p w:rsidR="00F0593F" w:rsidRPr="00173CFD" w:rsidRDefault="00F0593F" w:rsidP="00173CFD">
      <w:pPr>
        <w:spacing w:line="0" w:lineRule="atLeast"/>
        <w:jc w:val="both"/>
        <w:rPr>
          <w:rFonts w:ascii="Palatino Linotype" w:eastAsia="Arial" w:hAnsi="Palatino Linotype" w:cs="Times New Roman"/>
        </w:rPr>
      </w:pPr>
    </w:p>
    <w:p w:rsidR="00F0593F" w:rsidRPr="00173CFD" w:rsidRDefault="00F0593F" w:rsidP="00173CFD">
      <w:pPr>
        <w:spacing w:line="0" w:lineRule="atLeast"/>
        <w:jc w:val="center"/>
        <w:rPr>
          <w:rFonts w:ascii="Palatino Linotype" w:eastAsia="Arial" w:hAnsi="Palatino Linotype" w:cs="Times New Roman"/>
        </w:rPr>
      </w:pPr>
      <w:bookmarkStart w:id="2" w:name="page5"/>
      <w:bookmarkEnd w:id="2"/>
      <w:r w:rsidRPr="00173CFD">
        <w:rPr>
          <w:rFonts w:ascii="Palatino Linotype" w:eastAsia="Arial" w:hAnsi="Palatino Linotype" w:cs="Times New Roman"/>
        </w:rPr>
        <w:t>Table 2: Variety body system involved in ADRs</w:t>
      </w:r>
    </w:p>
    <w:tbl>
      <w:tblPr>
        <w:tblW w:w="0" w:type="auto"/>
        <w:jc w:val="center"/>
        <w:tblLayout w:type="fixed"/>
        <w:tblCellMar>
          <w:left w:w="0" w:type="dxa"/>
          <w:right w:w="0" w:type="dxa"/>
        </w:tblCellMar>
        <w:tblLook w:val="0000" w:firstRow="0" w:lastRow="0" w:firstColumn="0" w:lastColumn="0" w:noHBand="0" w:noVBand="0"/>
      </w:tblPr>
      <w:tblGrid>
        <w:gridCol w:w="2440"/>
        <w:gridCol w:w="540"/>
        <w:gridCol w:w="120"/>
        <w:gridCol w:w="420"/>
        <w:gridCol w:w="1080"/>
        <w:gridCol w:w="80"/>
        <w:gridCol w:w="1080"/>
        <w:gridCol w:w="680"/>
        <w:gridCol w:w="1560"/>
        <w:gridCol w:w="1480"/>
        <w:gridCol w:w="440"/>
        <w:gridCol w:w="40"/>
        <w:gridCol w:w="120"/>
        <w:gridCol w:w="20"/>
      </w:tblGrid>
      <w:tr w:rsidR="00F0593F" w:rsidRPr="00173CFD" w:rsidTr="0014616C">
        <w:trPr>
          <w:gridAfter w:val="2"/>
          <w:wAfter w:w="140" w:type="dxa"/>
          <w:trHeight w:val="193"/>
          <w:jc w:val="center"/>
        </w:trPr>
        <w:tc>
          <w:tcPr>
            <w:tcW w:w="2440" w:type="dxa"/>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System impairment</w:t>
            </w:r>
          </w:p>
        </w:tc>
        <w:tc>
          <w:tcPr>
            <w:tcW w:w="3320" w:type="dxa"/>
            <w:gridSpan w:val="6"/>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Adverse drug reactions (number of ADRs)</w:t>
            </w:r>
          </w:p>
        </w:tc>
        <w:tc>
          <w:tcPr>
            <w:tcW w:w="680" w:type="dxa"/>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920" w:type="dxa"/>
            <w:gridSpan w:val="2"/>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Total frequency of ADRs n (%)</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Digestive system</w:t>
            </w: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Nausea (36), vomiting (35), abdominal pain (19), gastrointestinal disorders (19),</w:t>
            </w:r>
          </w:p>
        </w:tc>
        <w:tc>
          <w:tcPr>
            <w:tcW w:w="1920" w:type="dxa"/>
            <w:gridSpan w:val="2"/>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149 (29.10)</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proofErr w:type="spellStart"/>
            <w:r w:rsidRPr="00173CFD">
              <w:rPr>
                <w:rFonts w:ascii="Palatino Linotype" w:eastAsia="Arial" w:hAnsi="Palatino Linotype" w:cs="Times New Roman"/>
              </w:rPr>
              <w:t>diarrhoea</w:t>
            </w:r>
            <w:proofErr w:type="spellEnd"/>
            <w:r w:rsidRPr="00173CFD">
              <w:rPr>
                <w:rFonts w:ascii="Palatino Linotype" w:eastAsia="Arial" w:hAnsi="Palatino Linotype" w:cs="Times New Roman"/>
              </w:rPr>
              <w:t xml:space="preserve"> (17), flatulence (6), oral ulcer (5), mouth dryness (3),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(9)</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Skin and appending system</w:t>
            </w: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Rash(88), itching (35), sweating (3), erythema (2),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(7)</w:t>
            </w:r>
          </w:p>
        </w:tc>
        <w:tc>
          <w:tcPr>
            <w:tcW w:w="208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135 (26.37)</w:t>
            </w:r>
          </w:p>
        </w:tc>
        <w:tc>
          <w:tcPr>
            <w:tcW w:w="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6"/>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Systemic reactions</w:t>
            </w: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Fever (27), chilly (10), confusion (8), anaphylactic reaction (7), anaphylactic</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w w:val="97"/>
              </w:rPr>
            </w:pPr>
            <w:r w:rsidRPr="00173CFD">
              <w:rPr>
                <w:rFonts w:ascii="Palatino Linotype" w:eastAsia="Arial" w:hAnsi="Palatino Linotype" w:cs="Times New Roman"/>
                <w:w w:val="97"/>
              </w:rPr>
              <w:t>63 (12.30)</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shock (3),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(8)</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6"/>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Female reproductive system</w:t>
            </w: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Perineum, vulva or vagina burning, itching, irritation or pain(45), vaginal</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w w:val="97"/>
              </w:rPr>
            </w:pPr>
            <w:r w:rsidRPr="00173CFD">
              <w:rPr>
                <w:rFonts w:ascii="Palatino Linotype" w:eastAsia="Arial" w:hAnsi="Palatino Linotype" w:cs="Times New Roman"/>
                <w:w w:val="97"/>
              </w:rPr>
              <w:t>66 (12.89)</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00" w:type="dxa"/>
            <w:gridSpan w:val="7"/>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bleeding (4), vaginal discharge (3),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(14)</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Central and peripheral nervous system</w:t>
            </w:r>
          </w:p>
        </w:tc>
        <w:tc>
          <w:tcPr>
            <w:tcW w:w="4000" w:type="dxa"/>
            <w:gridSpan w:val="7"/>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w w:val="98"/>
              </w:rPr>
            </w:pPr>
            <w:r w:rsidRPr="00173CFD">
              <w:rPr>
                <w:rFonts w:ascii="Palatino Linotype" w:eastAsia="Arial" w:hAnsi="Palatino Linotype" w:cs="Times New Roman"/>
                <w:w w:val="98"/>
              </w:rPr>
              <w:t>Headache (21), dizziness (15), numbness (3), others</w:t>
            </w:r>
            <w:r w:rsidRPr="00173CFD">
              <w:rPr>
                <w:rFonts w:ascii="Palatino Linotype" w:eastAsia="Arial" w:hAnsi="Palatino Linotype" w:cs="Times New Roman"/>
                <w:w w:val="98"/>
                <w:vertAlign w:val="superscript"/>
              </w:rPr>
              <w:t>†</w:t>
            </w:r>
            <w:r w:rsidRPr="00173CFD">
              <w:rPr>
                <w:rFonts w:ascii="Palatino Linotype" w:eastAsia="Arial" w:hAnsi="Palatino Linotype" w:cs="Times New Roman"/>
                <w:w w:val="98"/>
              </w:rPr>
              <w:t xml:space="preserve"> (1)</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40 (7.81)</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Respiration system</w:t>
            </w: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Chest tightness (13), dyspnea (5),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(5)</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23 (4.49)</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Cardiovascular system</w:t>
            </w: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Palpitation (9),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(5)</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14 (2.74)</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Application-site</w:t>
            </w: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Application site pain (7),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(2)</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9 (1.76)</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6"/>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proofErr w:type="spellStart"/>
            <w:r w:rsidRPr="00173CFD">
              <w:rPr>
                <w:rFonts w:ascii="Palatino Linotype" w:eastAsia="Arial" w:hAnsi="Palatino Linotype" w:cs="Times New Roman"/>
              </w:rPr>
              <w:t>Hepatobiliary</w:t>
            </w:r>
            <w:proofErr w:type="spellEnd"/>
            <w:r w:rsidRPr="00173CFD">
              <w:rPr>
                <w:rFonts w:ascii="Palatino Linotype" w:eastAsia="Arial" w:hAnsi="Palatino Linotype" w:cs="Times New Roman"/>
              </w:rPr>
              <w:t xml:space="preserve"> system</w:t>
            </w: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Transaminase elevation (5), bilirubin concentrations elevation (2)</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 (1.37)</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Musculoskeletal system</w:t>
            </w: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Muscle soreness (4), 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(2)</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6 (1.17)</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vertAlign w:val="superscript"/>
              </w:rPr>
            </w:pPr>
            <w:r w:rsidRPr="00173CFD">
              <w:rPr>
                <w:rFonts w:ascii="Palatino Linotype" w:eastAsia="Arial" w:hAnsi="Palatino Linotype" w:cs="Times New Roman"/>
              </w:rPr>
              <w:t>Other systems</w:t>
            </w:r>
            <w:r w:rsidRPr="00173CFD">
              <w:rPr>
                <w:rFonts w:ascii="Palatino Linotype" w:eastAsia="Arial" w:hAnsi="Palatino Linotype" w:cs="Times New Roman"/>
                <w:vertAlign w:val="superscript"/>
              </w:rPr>
              <w:t>*</w:t>
            </w: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Others</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 xml:space="preserve"> (22)</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22</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2"/>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Total</w:t>
            </w:r>
          </w:p>
        </w:tc>
        <w:tc>
          <w:tcPr>
            <w:tcW w:w="5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534 (100)</w:t>
            </w: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58"/>
          <w:jc w:val="center"/>
        </w:trPr>
        <w:tc>
          <w:tcPr>
            <w:tcW w:w="8000" w:type="dxa"/>
            <w:gridSpan w:val="9"/>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 xml:space="preserve">*Other systems related system impairment with &lt;5 ADRs’ reports. </w:t>
            </w:r>
            <w:r w:rsidRPr="00173CFD">
              <w:rPr>
                <w:rFonts w:ascii="Palatino Linotype" w:eastAsia="Arial" w:hAnsi="Palatino Linotype" w:cs="Times New Roman"/>
                <w:vertAlign w:val="superscript"/>
              </w:rPr>
              <w:t>†</w:t>
            </w:r>
            <w:r w:rsidRPr="00173CFD">
              <w:rPr>
                <w:rFonts w:ascii="Palatino Linotype" w:eastAsia="Arial" w:hAnsi="Palatino Linotype" w:cs="Times New Roman"/>
              </w:rPr>
              <w:t>Others represent the total of each ADRs with = 1 report</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0"/>
          <w:jc w:val="center"/>
        </w:trPr>
        <w:tc>
          <w:tcPr>
            <w:tcW w:w="2980" w:type="dxa"/>
            <w:gridSpan w:val="2"/>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right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00" w:type="dxa"/>
            <w:gridSpan w:val="2"/>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466"/>
          <w:jc w:val="center"/>
        </w:trPr>
        <w:tc>
          <w:tcPr>
            <w:tcW w:w="5760" w:type="dxa"/>
            <w:gridSpan w:val="7"/>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Table 3: Frequency of reports by medicine categories and suspect drugs</w:t>
            </w: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8"/>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Medicine categories</w:t>
            </w:r>
          </w:p>
        </w:tc>
        <w:tc>
          <w:tcPr>
            <w:tcW w:w="1080" w:type="dxa"/>
            <w:gridSpan w:val="3"/>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No (%) ADRs</w:t>
            </w:r>
          </w:p>
        </w:tc>
        <w:tc>
          <w:tcPr>
            <w:tcW w:w="2920" w:type="dxa"/>
            <w:gridSpan w:val="4"/>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Drugs (numbers of ADRs for each drug)</w:t>
            </w: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trHeight w:val="18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Patent medicines of TCM</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199 (55.74)</w:t>
            </w:r>
          </w:p>
        </w:tc>
        <w:tc>
          <w:tcPr>
            <w:tcW w:w="4480" w:type="dxa"/>
            <w:gridSpan w:val="5"/>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proofErr w:type="spellStart"/>
            <w:r w:rsidRPr="00173CFD">
              <w:rPr>
                <w:rFonts w:ascii="Palatino Linotype" w:eastAsia="Arial" w:hAnsi="Palatino Linotype" w:cs="Times New Roman"/>
              </w:rPr>
              <w:t>Bao</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fu</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kang</w:t>
            </w:r>
            <w:proofErr w:type="spellEnd"/>
            <w:r w:rsidRPr="00173CFD">
              <w:rPr>
                <w:rFonts w:ascii="Palatino Linotype" w:eastAsia="Arial" w:hAnsi="Palatino Linotype" w:cs="Times New Roman"/>
              </w:rPr>
              <w:t xml:space="preserve"> suppository (26), </w:t>
            </w:r>
            <w:proofErr w:type="spellStart"/>
            <w:r w:rsidRPr="00173CFD">
              <w:rPr>
                <w:rFonts w:ascii="Palatino Linotype" w:eastAsia="Arial" w:hAnsi="Palatino Linotype" w:cs="Times New Roman"/>
              </w:rPr>
              <w:t>xiaojin</w:t>
            </w:r>
            <w:proofErr w:type="spellEnd"/>
            <w:r w:rsidRPr="00173CFD">
              <w:rPr>
                <w:rFonts w:ascii="Palatino Linotype" w:eastAsia="Arial" w:hAnsi="Palatino Linotype" w:cs="Times New Roman"/>
              </w:rPr>
              <w:t xml:space="preserve"> pill (21), kun tai capsule (16)</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00" w:type="dxa"/>
            <w:gridSpan w:val="3"/>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3"/>
          <w:wAfter w:w="18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Antimicrobial agents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73 (20.45)</w:t>
            </w:r>
          </w:p>
        </w:tc>
        <w:tc>
          <w:tcPr>
            <w:tcW w:w="6400" w:type="dxa"/>
            <w:gridSpan w:val="7"/>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w w:val="98"/>
              </w:rPr>
            </w:pPr>
            <w:proofErr w:type="spellStart"/>
            <w:r w:rsidRPr="00173CFD">
              <w:rPr>
                <w:rFonts w:ascii="Palatino Linotype" w:eastAsia="Arial" w:hAnsi="Palatino Linotype" w:cs="Times New Roman"/>
                <w:w w:val="98"/>
              </w:rPr>
              <w:t>Nifuratel</w:t>
            </w:r>
            <w:proofErr w:type="spellEnd"/>
            <w:r w:rsidRPr="00173CFD">
              <w:rPr>
                <w:rFonts w:ascii="Palatino Linotype" w:eastAsia="Arial" w:hAnsi="Palatino Linotype" w:cs="Times New Roman"/>
                <w:w w:val="98"/>
              </w:rPr>
              <w:t xml:space="preserve"> and </w:t>
            </w:r>
            <w:proofErr w:type="spellStart"/>
            <w:r w:rsidRPr="00173CFD">
              <w:rPr>
                <w:rFonts w:ascii="Palatino Linotype" w:eastAsia="Arial" w:hAnsi="Palatino Linotype" w:cs="Times New Roman"/>
                <w:w w:val="98"/>
              </w:rPr>
              <w:t>nysfungin</w:t>
            </w:r>
            <w:proofErr w:type="spellEnd"/>
            <w:r w:rsidRPr="00173CFD">
              <w:rPr>
                <w:rFonts w:ascii="Palatino Linotype" w:eastAsia="Arial" w:hAnsi="Palatino Linotype" w:cs="Times New Roman"/>
                <w:w w:val="98"/>
              </w:rPr>
              <w:t xml:space="preserve"> (12), </w:t>
            </w:r>
            <w:proofErr w:type="spellStart"/>
            <w:r w:rsidRPr="00173CFD">
              <w:rPr>
                <w:rFonts w:ascii="Palatino Linotype" w:eastAsia="Arial" w:hAnsi="Palatino Linotype" w:cs="Times New Roman"/>
                <w:w w:val="98"/>
              </w:rPr>
              <w:t>ornidazole</w:t>
            </w:r>
            <w:proofErr w:type="spellEnd"/>
            <w:r w:rsidRPr="00173CFD">
              <w:rPr>
                <w:rFonts w:ascii="Palatino Linotype" w:eastAsia="Arial" w:hAnsi="Palatino Linotype" w:cs="Times New Roman"/>
                <w:w w:val="98"/>
              </w:rPr>
              <w:t xml:space="preserve"> (7), metronidazole (7), </w:t>
            </w:r>
            <w:proofErr w:type="spellStart"/>
            <w:r w:rsidRPr="00173CFD">
              <w:rPr>
                <w:rFonts w:ascii="Palatino Linotype" w:eastAsia="Arial" w:hAnsi="Palatino Linotype" w:cs="Times New Roman"/>
                <w:w w:val="98"/>
              </w:rPr>
              <w:t>nifuratel</w:t>
            </w:r>
            <w:proofErr w:type="spellEnd"/>
            <w:r w:rsidRPr="00173CFD">
              <w:rPr>
                <w:rFonts w:ascii="Palatino Linotype" w:eastAsia="Arial" w:hAnsi="Palatino Linotype" w:cs="Times New Roman"/>
                <w:w w:val="98"/>
              </w:rPr>
              <w:t xml:space="preserve"> (7), compound of metronidazole (6)</w:t>
            </w: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Female reproductive system agents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44 (12.32)</w:t>
            </w:r>
          </w:p>
        </w:tc>
        <w:tc>
          <w:tcPr>
            <w:tcW w:w="596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proofErr w:type="spellStart"/>
            <w:r w:rsidRPr="00173CFD">
              <w:rPr>
                <w:rFonts w:ascii="Palatino Linotype" w:eastAsia="Arial" w:hAnsi="Palatino Linotype" w:cs="Times New Roman"/>
              </w:rPr>
              <w:t>Ethinylestradiol</w:t>
            </w:r>
            <w:proofErr w:type="spellEnd"/>
            <w:r w:rsidRPr="00173CFD">
              <w:rPr>
                <w:rFonts w:ascii="Palatino Linotype" w:eastAsia="Arial" w:hAnsi="Palatino Linotype" w:cs="Times New Roman"/>
              </w:rPr>
              <w:t xml:space="preserve"> and </w:t>
            </w:r>
            <w:proofErr w:type="spellStart"/>
            <w:r w:rsidRPr="00173CFD">
              <w:rPr>
                <w:rFonts w:ascii="Palatino Linotype" w:eastAsia="Arial" w:hAnsi="Palatino Linotype" w:cs="Times New Roman"/>
              </w:rPr>
              <w:t>cyproterone</w:t>
            </w:r>
            <w:proofErr w:type="spellEnd"/>
            <w:r w:rsidRPr="00173CFD">
              <w:rPr>
                <w:rFonts w:ascii="Palatino Linotype" w:eastAsia="Arial" w:hAnsi="Palatino Linotype" w:cs="Times New Roman"/>
              </w:rPr>
              <w:t xml:space="preserve"> (3), </w:t>
            </w:r>
            <w:proofErr w:type="spellStart"/>
            <w:r w:rsidRPr="00173CFD">
              <w:rPr>
                <w:rFonts w:ascii="Palatino Linotype" w:eastAsia="Arial" w:hAnsi="Palatino Linotype" w:cs="Times New Roman"/>
              </w:rPr>
              <w:t>desogestrel</w:t>
            </w:r>
            <w:proofErr w:type="spellEnd"/>
            <w:r w:rsidRPr="00173CFD">
              <w:rPr>
                <w:rFonts w:ascii="Palatino Linotype" w:eastAsia="Arial" w:hAnsi="Palatino Linotype" w:cs="Times New Roman"/>
              </w:rPr>
              <w:t xml:space="preserve"> and </w:t>
            </w:r>
            <w:proofErr w:type="spellStart"/>
            <w:r w:rsidRPr="00173CFD">
              <w:rPr>
                <w:rFonts w:ascii="Palatino Linotype" w:eastAsia="Arial" w:hAnsi="Palatino Linotype" w:cs="Times New Roman"/>
              </w:rPr>
              <w:t>ethinylestradiol</w:t>
            </w:r>
            <w:proofErr w:type="spellEnd"/>
            <w:r w:rsidRPr="00173CFD">
              <w:rPr>
                <w:rFonts w:ascii="Palatino Linotype" w:eastAsia="Arial" w:hAnsi="Palatino Linotype" w:cs="Times New Roman"/>
              </w:rPr>
              <w:t xml:space="preserve"> (2), </w:t>
            </w:r>
            <w:proofErr w:type="spellStart"/>
            <w:r w:rsidRPr="00173CFD">
              <w:rPr>
                <w:rFonts w:ascii="Palatino Linotype" w:eastAsia="Arial" w:hAnsi="Palatino Linotype" w:cs="Times New Roman"/>
              </w:rPr>
              <w:t>dydrogesterone</w:t>
            </w:r>
            <w:proofErr w:type="spellEnd"/>
            <w:r w:rsidRPr="00173CFD">
              <w:rPr>
                <w:rFonts w:ascii="Palatino Linotype" w:eastAsia="Arial" w:hAnsi="Palatino Linotype" w:cs="Times New Roman"/>
              </w:rPr>
              <w:t xml:space="preserve"> (2)</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Anti-</w:t>
            </w:r>
            <w:proofErr w:type="spellStart"/>
            <w:r w:rsidRPr="00173CFD">
              <w:rPr>
                <w:rFonts w:ascii="Palatino Linotype" w:eastAsia="Arial" w:hAnsi="Palatino Linotype" w:cs="Times New Roman"/>
              </w:rPr>
              <w:t>tumour</w:t>
            </w:r>
            <w:proofErr w:type="spellEnd"/>
            <w:r w:rsidRPr="00173CFD">
              <w:rPr>
                <w:rFonts w:ascii="Palatino Linotype" w:eastAsia="Arial" w:hAnsi="Palatino Linotype" w:cs="Times New Roman"/>
              </w:rPr>
              <w:t xml:space="preserve"> agents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41 (11.49)</w:t>
            </w:r>
          </w:p>
        </w:tc>
        <w:tc>
          <w:tcPr>
            <w:tcW w:w="596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 xml:space="preserve">Methotrexate (13), paclitaxel (3), </w:t>
            </w:r>
            <w:proofErr w:type="spellStart"/>
            <w:r w:rsidRPr="00173CFD">
              <w:rPr>
                <w:rFonts w:ascii="Palatino Linotype" w:eastAsia="Arial" w:hAnsi="Palatino Linotype" w:cs="Times New Roman"/>
              </w:rPr>
              <w:t>exemestane</w:t>
            </w:r>
            <w:proofErr w:type="spellEnd"/>
            <w:r w:rsidRPr="00173CFD">
              <w:rPr>
                <w:rFonts w:ascii="Palatino Linotype" w:eastAsia="Arial" w:hAnsi="Palatino Linotype" w:cs="Times New Roman"/>
              </w:rPr>
              <w:t xml:space="preserve"> (2), carboplatin (2), </w:t>
            </w:r>
            <w:proofErr w:type="spellStart"/>
            <w:r w:rsidRPr="00173CFD">
              <w:rPr>
                <w:rFonts w:ascii="Palatino Linotype" w:eastAsia="Arial" w:hAnsi="Palatino Linotype" w:cs="Times New Roman"/>
              </w:rPr>
              <w:t>dactinomycin</w:t>
            </w:r>
            <w:proofErr w:type="spellEnd"/>
            <w:r w:rsidRPr="00173CFD">
              <w:rPr>
                <w:rFonts w:ascii="Palatino Linotype" w:eastAsia="Arial" w:hAnsi="Palatino Linotype" w:cs="Times New Roman"/>
              </w:rPr>
              <w:t xml:space="preserve"> (2)</w:t>
            </w: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04"/>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Total</w:t>
            </w:r>
          </w:p>
        </w:tc>
        <w:tc>
          <w:tcPr>
            <w:tcW w:w="660" w:type="dxa"/>
            <w:gridSpan w:val="2"/>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w w:val="93"/>
              </w:rPr>
            </w:pPr>
            <w:r w:rsidRPr="00173CFD">
              <w:rPr>
                <w:rFonts w:ascii="Palatino Linotype" w:eastAsia="Arial" w:hAnsi="Palatino Linotype" w:cs="Times New Roman"/>
                <w:w w:val="93"/>
              </w:rPr>
              <w:t>357 (100)</w:t>
            </w: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444"/>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Table 4: Latency of ADR’s onset</w:t>
            </w:r>
          </w:p>
        </w:tc>
        <w:tc>
          <w:tcPr>
            <w:tcW w:w="5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3"/>
          <w:wAfter w:w="180" w:type="dxa"/>
          <w:trHeight w:val="18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3320" w:type="dxa"/>
            <w:gridSpan w:val="6"/>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Frequency of ADRs (n (%)</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920" w:type="dxa"/>
            <w:gridSpan w:val="2"/>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Latency of ADRs (hr)</w:t>
            </w:r>
          </w:p>
        </w:tc>
      </w:tr>
      <w:tr w:rsidR="00F0593F" w:rsidRPr="00173CFD" w:rsidTr="0014616C">
        <w:trPr>
          <w:gridAfter w:val="3"/>
          <w:wAfter w:w="18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5560" w:type="dxa"/>
            <w:gridSpan w:val="8"/>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w:t>
            </w:r>
          </w:p>
        </w:tc>
        <w:tc>
          <w:tcPr>
            <w:tcW w:w="1920" w:type="dxa"/>
            <w:gridSpan w:val="2"/>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w:t>
            </w:r>
          </w:p>
        </w:tc>
      </w:tr>
      <w:tr w:rsidR="00F0593F" w:rsidRPr="00173CFD" w:rsidTr="0014616C">
        <w:trPr>
          <w:gridAfter w:val="3"/>
          <w:wAfter w:w="180" w:type="dxa"/>
          <w:trHeight w:val="175"/>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Class of suspected drugs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T&lt;0.5 hrs</w:t>
            </w:r>
          </w:p>
        </w:tc>
        <w:tc>
          <w:tcPr>
            <w:tcW w:w="224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0.5&lt;T&lt;24 hrs</w:t>
            </w:r>
          </w:p>
        </w:tc>
        <w:tc>
          <w:tcPr>
            <w:tcW w:w="6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T&gt;24 hrs</w:t>
            </w: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Total</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Mean</w:t>
            </w: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Std. dev</w:t>
            </w:r>
          </w:p>
        </w:tc>
      </w:tr>
      <w:tr w:rsidR="00F0593F" w:rsidRPr="00173CFD" w:rsidTr="0014616C">
        <w:trPr>
          <w:gridAfter w:val="2"/>
          <w:wAfter w:w="140" w:type="dxa"/>
          <w:trHeight w:val="20"/>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5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top w:val="single" w:sz="8" w:space="0" w:color="auto"/>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7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Antibiotics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22 (30.14)</w:t>
            </w:r>
          </w:p>
        </w:tc>
        <w:tc>
          <w:tcPr>
            <w:tcW w:w="224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38 (52.05)</w:t>
            </w:r>
          </w:p>
        </w:tc>
        <w:tc>
          <w:tcPr>
            <w:tcW w:w="6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13 (17.81)</w:t>
            </w: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73 (100)</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29.34</w:t>
            </w: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11.98</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Anti-tumor agents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18 (43.90)</w:t>
            </w:r>
          </w:p>
        </w:tc>
        <w:tc>
          <w:tcPr>
            <w:tcW w:w="224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5 (12.20)</w:t>
            </w:r>
          </w:p>
        </w:tc>
        <w:tc>
          <w:tcPr>
            <w:tcW w:w="6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18 (43.90)</w:t>
            </w: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41 (100)</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53.06</w:t>
            </w: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16.85</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Female reproductive system agents</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 (6.82)</w:t>
            </w:r>
          </w:p>
        </w:tc>
        <w:tc>
          <w:tcPr>
            <w:tcW w:w="224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31 (70.46)</w:t>
            </w:r>
          </w:p>
        </w:tc>
        <w:tc>
          <w:tcPr>
            <w:tcW w:w="6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10 (22.72)</w:t>
            </w: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44 (100)</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44.95</w:t>
            </w: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13.47</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Patent medicines of TCM</w:t>
            </w:r>
          </w:p>
        </w:tc>
        <w:tc>
          <w:tcPr>
            <w:tcW w:w="108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48 (24.12)</w:t>
            </w:r>
          </w:p>
        </w:tc>
        <w:tc>
          <w:tcPr>
            <w:tcW w:w="2240" w:type="dxa"/>
            <w:gridSpan w:val="3"/>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116 (57.79)</w:t>
            </w:r>
          </w:p>
        </w:tc>
        <w:tc>
          <w:tcPr>
            <w:tcW w:w="6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35 (17.59)</w:t>
            </w: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199 (100)</w:t>
            </w:r>
          </w:p>
        </w:tc>
        <w:tc>
          <w:tcPr>
            <w:tcW w:w="14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20.89</w:t>
            </w: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3.20</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04"/>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Total</w:t>
            </w:r>
          </w:p>
        </w:tc>
        <w:tc>
          <w:tcPr>
            <w:tcW w:w="1080" w:type="dxa"/>
            <w:gridSpan w:val="3"/>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91 (25.49)</w:t>
            </w:r>
          </w:p>
        </w:tc>
        <w:tc>
          <w:tcPr>
            <w:tcW w:w="2240" w:type="dxa"/>
            <w:gridSpan w:val="3"/>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190 (53.22)</w:t>
            </w: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76 (21.29)</w:t>
            </w: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357 (100)</w:t>
            </w: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75.22</w:t>
            </w: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3.98</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2"/>
          <w:jc w:val="center"/>
        </w:trPr>
        <w:tc>
          <w:tcPr>
            <w:tcW w:w="8000" w:type="dxa"/>
            <w:gridSpan w:val="9"/>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 refers to the latency periods, which was calculated from the beginning of medication to the onset of ADRs</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461"/>
          <w:jc w:val="center"/>
        </w:trPr>
        <w:tc>
          <w:tcPr>
            <w:tcW w:w="5760" w:type="dxa"/>
            <w:gridSpan w:val="7"/>
            <w:tcBorders>
              <w:bottom w:val="single" w:sz="8" w:space="0" w:color="auto"/>
            </w:tcBorders>
            <w:shd w:val="clear" w:color="auto" w:fill="auto"/>
            <w:vAlign w:val="bottom"/>
          </w:tcPr>
          <w:p w:rsidR="0014616C" w:rsidRPr="00173CFD" w:rsidRDefault="0014616C" w:rsidP="00173CFD">
            <w:pPr>
              <w:spacing w:line="0" w:lineRule="atLeast"/>
              <w:jc w:val="both"/>
              <w:rPr>
                <w:rFonts w:ascii="Palatino Linotype" w:eastAsia="Arial" w:hAnsi="Palatino Linotype" w:cs="Times New Roman"/>
                <w:w w:val="98"/>
              </w:rPr>
            </w:pPr>
          </w:p>
          <w:p w:rsidR="00F0593F" w:rsidRPr="00173CFD" w:rsidRDefault="00F0593F" w:rsidP="00173CFD">
            <w:pPr>
              <w:spacing w:line="0" w:lineRule="atLeast"/>
              <w:jc w:val="both"/>
              <w:rPr>
                <w:rFonts w:ascii="Palatino Linotype" w:eastAsia="Arial" w:hAnsi="Palatino Linotype" w:cs="Times New Roman"/>
                <w:w w:val="98"/>
              </w:rPr>
            </w:pPr>
            <w:r w:rsidRPr="00173CFD">
              <w:rPr>
                <w:rFonts w:ascii="Palatino Linotype" w:eastAsia="Arial" w:hAnsi="Palatino Linotype" w:cs="Times New Roman"/>
                <w:w w:val="98"/>
              </w:rPr>
              <w:t>Table 5: Risk factors contributed to latency periods of ADRs assessed by multivariate analysis</w:t>
            </w: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3"/>
          <w:wAfter w:w="180" w:type="dxa"/>
          <w:trHeight w:val="188"/>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Covariate</w:t>
            </w: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HR (95% CI)</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p-value</w:t>
            </w:r>
          </w:p>
        </w:tc>
      </w:tr>
      <w:tr w:rsidR="00F0593F" w:rsidRPr="00173CFD" w:rsidTr="0014616C">
        <w:trPr>
          <w:gridAfter w:val="2"/>
          <w:wAfter w:w="140" w:type="dxa"/>
          <w:trHeight w:val="195"/>
          <w:jc w:val="center"/>
        </w:trPr>
        <w:tc>
          <w:tcPr>
            <w:tcW w:w="24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Age</w:t>
            </w:r>
          </w:p>
        </w:tc>
        <w:tc>
          <w:tcPr>
            <w:tcW w:w="5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2.919 (1.049, 8.124)</w:t>
            </w:r>
          </w:p>
        </w:tc>
        <w:tc>
          <w:tcPr>
            <w:tcW w:w="156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vertAlign w:val="superscript"/>
              </w:rPr>
            </w:pPr>
            <w:r w:rsidRPr="00173CFD">
              <w:rPr>
                <w:rFonts w:ascii="Palatino Linotype" w:eastAsia="Arial" w:hAnsi="Palatino Linotype" w:cs="Times New Roman"/>
              </w:rPr>
              <w:t>0.040</w:t>
            </w:r>
            <w:r w:rsidRPr="00173CFD">
              <w:rPr>
                <w:rFonts w:ascii="Palatino Linotype" w:eastAsia="Arial" w:hAnsi="Palatino Linotype" w:cs="Times New Roman"/>
                <w:vertAlign w:val="superscript"/>
              </w:rPr>
              <w:t>*</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6"/>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Sources of patients</w:t>
            </w: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2.405 (0.486, 11.896)</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0.282</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2"/>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History of allergy</w:t>
            </w: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4.107 (1.478, 11.410)</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vertAlign w:val="superscript"/>
              </w:rPr>
            </w:pPr>
            <w:r w:rsidRPr="00173CFD">
              <w:rPr>
                <w:rFonts w:ascii="Palatino Linotype" w:eastAsia="Arial" w:hAnsi="Palatino Linotype" w:cs="Times New Roman"/>
              </w:rPr>
              <w:t>0.007</w:t>
            </w:r>
            <w:r w:rsidRPr="00173CFD">
              <w:rPr>
                <w:rFonts w:ascii="Palatino Linotype" w:eastAsia="Arial" w:hAnsi="Palatino Linotype" w:cs="Times New Roman"/>
                <w:vertAlign w:val="superscript"/>
              </w:rPr>
              <w:t>*</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86"/>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Medications</w:t>
            </w: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2.413 (0.429, 13.577)</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0.317</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Course of medications</w:t>
            </w: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0.016 (0.000, 2.023)</w:t>
            </w:r>
          </w:p>
        </w:tc>
        <w:tc>
          <w:tcPr>
            <w:tcW w:w="156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0.094</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210"/>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Group of suspected drugs</w:t>
            </w:r>
          </w:p>
        </w:tc>
        <w:tc>
          <w:tcPr>
            <w:tcW w:w="5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920" w:type="dxa"/>
            <w:gridSpan w:val="4"/>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0.365 (0.159, 0.834)</w:t>
            </w: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vertAlign w:val="superscript"/>
              </w:rPr>
            </w:pPr>
            <w:r w:rsidRPr="00173CFD">
              <w:rPr>
                <w:rFonts w:ascii="Palatino Linotype" w:eastAsia="Arial" w:hAnsi="Palatino Linotype" w:cs="Times New Roman"/>
              </w:rPr>
              <w:t>0.017</w:t>
            </w:r>
            <w:r w:rsidRPr="00173CFD">
              <w:rPr>
                <w:rFonts w:ascii="Palatino Linotype" w:eastAsia="Arial" w:hAnsi="Palatino Linotype" w:cs="Times New Roman"/>
                <w:vertAlign w:val="superscript"/>
              </w:rPr>
              <w:t>*</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77"/>
          <w:jc w:val="center"/>
        </w:trPr>
        <w:tc>
          <w:tcPr>
            <w:tcW w:w="8000" w:type="dxa"/>
            <w:gridSpan w:val="9"/>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*p-value indicated statistical significance. ADRs, Adverse drug reactions, CI: Confidence interval, HR: Hazard ratio</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461"/>
          <w:jc w:val="center"/>
        </w:trPr>
        <w:tc>
          <w:tcPr>
            <w:tcW w:w="3520" w:type="dxa"/>
            <w:gridSpan w:val="4"/>
            <w:tcBorders>
              <w:bottom w:val="single" w:sz="8" w:space="0" w:color="auto"/>
            </w:tcBorders>
            <w:shd w:val="clear" w:color="auto" w:fill="auto"/>
            <w:vAlign w:val="bottom"/>
          </w:tcPr>
          <w:p w:rsidR="0014616C" w:rsidRPr="00173CFD" w:rsidRDefault="0014616C" w:rsidP="00173CFD">
            <w:pPr>
              <w:spacing w:line="0" w:lineRule="atLeast"/>
              <w:jc w:val="both"/>
              <w:rPr>
                <w:rFonts w:ascii="Palatino Linotype" w:eastAsia="Arial" w:hAnsi="Palatino Linotype" w:cs="Times New Roman"/>
              </w:rPr>
            </w:pPr>
          </w:p>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Table 6: Medical interventions associated with ADRs</w:t>
            </w: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3"/>
          <w:wAfter w:w="180" w:type="dxa"/>
          <w:trHeight w:val="188"/>
          <w:jc w:val="center"/>
        </w:trPr>
        <w:tc>
          <w:tcPr>
            <w:tcW w:w="24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5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2240" w:type="dxa"/>
            <w:gridSpan w:val="2"/>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Frequency of ADRs (n)</w:t>
            </w:r>
          </w:p>
        </w:tc>
        <w:tc>
          <w:tcPr>
            <w:tcW w:w="1920" w:type="dxa"/>
            <w:gridSpan w:val="2"/>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Percentage</w:t>
            </w:r>
          </w:p>
        </w:tc>
      </w:tr>
      <w:tr w:rsidR="00F0593F" w:rsidRPr="00173CFD" w:rsidTr="0014616C">
        <w:trPr>
          <w:gridAfter w:val="2"/>
          <w:wAfter w:w="140" w:type="dxa"/>
          <w:trHeight w:val="182"/>
          <w:jc w:val="center"/>
        </w:trPr>
        <w:tc>
          <w:tcPr>
            <w:tcW w:w="24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Self-treated or clinic-treated ADRs</w:t>
            </w:r>
          </w:p>
        </w:tc>
        <w:tc>
          <w:tcPr>
            <w:tcW w:w="5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30</w:t>
            </w:r>
          </w:p>
        </w:tc>
        <w:tc>
          <w:tcPr>
            <w:tcW w:w="148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top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8.4</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3520" w:type="dxa"/>
            <w:gridSpan w:val="4"/>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Drug withdrawal after ADRs with additional treatments</w:t>
            </w: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87</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24.37</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4616C">
        <w:trPr>
          <w:gridAfter w:val="2"/>
          <w:wAfter w:w="140" w:type="dxa"/>
          <w:trHeight w:val="199"/>
          <w:jc w:val="center"/>
        </w:trPr>
        <w:tc>
          <w:tcPr>
            <w:tcW w:w="5760" w:type="dxa"/>
            <w:gridSpan w:val="7"/>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Drug withdrawal after ADRs without additional treatments</w:t>
            </w:r>
          </w:p>
        </w:tc>
        <w:tc>
          <w:tcPr>
            <w:tcW w:w="6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261</w:t>
            </w:r>
          </w:p>
        </w:tc>
        <w:tc>
          <w:tcPr>
            <w:tcW w:w="148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73.11</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r w:rsidR="00F0593F" w:rsidRPr="00173CFD" w:rsidTr="00173CFD">
        <w:trPr>
          <w:gridAfter w:val="2"/>
          <w:wAfter w:w="140" w:type="dxa"/>
          <w:trHeight w:val="87"/>
          <w:jc w:val="center"/>
        </w:trPr>
        <w:tc>
          <w:tcPr>
            <w:tcW w:w="2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Continue as before</w:t>
            </w:r>
          </w:p>
        </w:tc>
        <w:tc>
          <w:tcPr>
            <w:tcW w:w="5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2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0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6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156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9</w:t>
            </w:r>
          </w:p>
        </w:tc>
        <w:tc>
          <w:tcPr>
            <w:tcW w:w="148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c>
          <w:tcPr>
            <w:tcW w:w="440" w:type="dxa"/>
            <w:tcBorders>
              <w:bottom w:val="single" w:sz="8" w:space="0" w:color="auto"/>
            </w:tcBorders>
            <w:shd w:val="clear" w:color="auto" w:fill="auto"/>
            <w:vAlign w:val="bottom"/>
          </w:tcPr>
          <w:p w:rsidR="00F0593F" w:rsidRPr="00173CFD" w:rsidRDefault="00F0593F" w:rsidP="00173CFD">
            <w:pPr>
              <w:spacing w:line="0" w:lineRule="atLeast"/>
              <w:jc w:val="both"/>
              <w:rPr>
                <w:rFonts w:ascii="Palatino Linotype" w:eastAsia="Arial" w:hAnsi="Palatino Linotype" w:cs="Times New Roman"/>
              </w:rPr>
            </w:pPr>
            <w:r w:rsidRPr="00173CFD">
              <w:rPr>
                <w:rFonts w:ascii="Palatino Linotype" w:eastAsia="Arial" w:hAnsi="Palatino Linotype" w:cs="Times New Roman"/>
              </w:rPr>
              <w:t>2.52</w:t>
            </w:r>
          </w:p>
        </w:tc>
        <w:tc>
          <w:tcPr>
            <w:tcW w:w="40" w:type="dxa"/>
            <w:shd w:val="clear" w:color="auto" w:fill="auto"/>
            <w:vAlign w:val="bottom"/>
          </w:tcPr>
          <w:p w:rsidR="00F0593F" w:rsidRPr="00173CFD" w:rsidRDefault="00F0593F" w:rsidP="00173CFD">
            <w:pPr>
              <w:spacing w:line="0" w:lineRule="atLeast"/>
              <w:jc w:val="both"/>
              <w:rPr>
                <w:rFonts w:ascii="Palatino Linotype" w:eastAsia="Times New Roman" w:hAnsi="Palatino Linotype" w:cs="Times New Roman"/>
              </w:rPr>
            </w:pPr>
          </w:p>
        </w:tc>
      </w:tr>
    </w:tbl>
    <w:p w:rsidR="0014616C" w:rsidRPr="00173CFD" w:rsidRDefault="0014616C" w:rsidP="00173CFD">
      <w:pPr>
        <w:spacing w:line="0" w:lineRule="atLeast"/>
        <w:jc w:val="both"/>
        <w:rPr>
          <w:rFonts w:ascii="Palatino Linotype" w:eastAsia="Arial" w:hAnsi="Palatino Linotype" w:cs="Times New Roman"/>
          <w:b/>
          <w:sz w:val="22"/>
        </w:rPr>
        <w:sectPr w:rsidR="0014616C" w:rsidRPr="00173CFD" w:rsidSect="00173CFD">
          <w:type w:val="continuous"/>
          <w:pgSz w:w="11909" w:h="16834" w:code="9"/>
          <w:pgMar w:top="1440" w:right="720" w:bottom="720" w:left="720" w:header="720" w:footer="346" w:gutter="0"/>
          <w:cols w:space="0"/>
          <w:docGrid w:linePitch="360"/>
        </w:sectPr>
      </w:pPr>
    </w:p>
    <w:p w:rsidR="00F0593F" w:rsidRPr="00173CFD" w:rsidRDefault="00173CFD" w:rsidP="00173CFD">
      <w:pPr>
        <w:numPr>
          <w:ilvl w:val="0"/>
          <w:numId w:val="14"/>
        </w:numPr>
        <w:spacing w:line="0" w:lineRule="atLeast"/>
        <w:ind w:left="2880"/>
        <w:jc w:val="both"/>
        <w:rPr>
          <w:rFonts w:ascii="Palatino Linotype" w:eastAsia="Arial" w:hAnsi="Palatino Linotype" w:cs="Times New Roman"/>
          <w:b/>
          <w:sz w:val="22"/>
        </w:rPr>
      </w:pPr>
      <w:r w:rsidRPr="00173CFD">
        <w:rPr>
          <w:rFonts w:ascii="Palatino Linotype" w:eastAsia="Arial" w:hAnsi="Palatino Linotype" w:cs="Times New Roman"/>
          <w:b/>
          <w:sz w:val="22"/>
        </w:rPr>
        <w:t>Discussion</w:t>
      </w:r>
    </w:p>
    <w:p w:rsidR="00F0593F"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This study was conducted by doctors and pharmacists’ intensively monitoring to report ADRs to explore the specific characteristics and the duration period of ADRs of side effects of medications that happened in female patients. Previous</w:t>
      </w:r>
      <w:r w:rsidR="0014616C" w:rsidRPr="00173CFD">
        <w:rPr>
          <w:rFonts w:ascii="Palatino Linotype" w:eastAsia="Arial" w:hAnsi="Palatino Linotype" w:cs="Times New Roman"/>
        </w:rPr>
        <w:t xml:space="preserve"> </w:t>
      </w:r>
      <w:r w:rsidRPr="00173CFD">
        <w:rPr>
          <w:rFonts w:ascii="Palatino Linotype" w:eastAsia="Arial" w:hAnsi="Palatino Linotype" w:cs="Times New Roman"/>
        </w:rPr>
        <w:t>studies have shown that many factors involved in ADRs, including self-perceived health status, gender, age, sex, as well as drug-related factors</w:t>
      </w:r>
      <w:r w:rsidRPr="00173CFD">
        <w:rPr>
          <w:rFonts w:ascii="Palatino Linotype" w:eastAsia="Arial" w:hAnsi="Palatino Linotype" w:cs="Times New Roman"/>
          <w:vertAlign w:val="superscript"/>
        </w:rPr>
        <w:t>19-21</w:t>
      </w:r>
      <w:r w:rsidRPr="00173CFD">
        <w:rPr>
          <w:rFonts w:ascii="Palatino Linotype" w:eastAsia="Arial" w:hAnsi="Palatino Linotype" w:cs="Times New Roman"/>
        </w:rPr>
        <w:t xml:space="preserve">. In our present study, the most frequent ADRs were rash, perineum, vulva or vaginal discomfort, as well as nausea, consistent with previous reports. Ranked from least to most likely of side effects were as </w:t>
      </w:r>
      <w:proofErr w:type="spellStart"/>
      <w:r w:rsidRPr="00173CFD">
        <w:rPr>
          <w:rFonts w:ascii="Palatino Linotype" w:eastAsia="Arial" w:hAnsi="Palatino Linotype" w:cs="Times New Roman"/>
        </w:rPr>
        <w:t>follows</w:t>
      </w:r>
      <w:proofErr w:type="gramStart"/>
      <w:r w:rsidRPr="00173CFD">
        <w:rPr>
          <w:rFonts w:ascii="Palatino Linotype" w:eastAsia="Arial" w:hAnsi="Palatino Linotype" w:cs="Times New Roman"/>
        </w:rPr>
        <w:t>:anti</w:t>
      </w:r>
      <w:proofErr w:type="gramEnd"/>
      <w:r w:rsidRPr="00173CFD">
        <w:rPr>
          <w:rFonts w:ascii="Palatino Linotype" w:eastAsia="Arial" w:hAnsi="Palatino Linotype" w:cs="Times New Roman"/>
        </w:rPr>
        <w:t>-tumour</w:t>
      </w:r>
      <w:proofErr w:type="spellEnd"/>
      <w:r w:rsidRPr="00173CFD">
        <w:rPr>
          <w:rFonts w:ascii="Palatino Linotype" w:eastAsia="Arial" w:hAnsi="Palatino Linotype" w:cs="Times New Roman"/>
        </w:rPr>
        <w:t xml:space="preserve"> agents, female reproductive system agents, antimicrobial agents and patent medicines of TCM, respectively. There are some different aspects: (1) we focused on female due to the different genes, genetics, hormone variations, biological rhythms and other physical conditions between male and female</w:t>
      </w:r>
      <w:r w:rsidRPr="00173CFD">
        <w:rPr>
          <w:rFonts w:ascii="Palatino Linotype" w:eastAsia="Arial" w:hAnsi="Palatino Linotype" w:cs="Times New Roman"/>
          <w:vertAlign w:val="superscript"/>
        </w:rPr>
        <w:t>21</w:t>
      </w:r>
      <w:proofErr w:type="gramStart"/>
      <w:r w:rsidRPr="00173CFD">
        <w:rPr>
          <w:rFonts w:ascii="Palatino Linotype" w:eastAsia="Arial" w:hAnsi="Palatino Linotype" w:cs="Times New Roman"/>
          <w:vertAlign w:val="superscript"/>
        </w:rPr>
        <w:t>,22</w:t>
      </w:r>
      <w:proofErr w:type="gramEnd"/>
      <w:r w:rsidRPr="00173CFD">
        <w:rPr>
          <w:rFonts w:ascii="Palatino Linotype" w:eastAsia="Arial" w:hAnsi="Palatino Linotype" w:cs="Times New Roman"/>
        </w:rPr>
        <w:t>. Furthermore, the uses of specific medications for female patients, such as oral contraception, the herbal remedy which can conversely influence body endocrine environment</w:t>
      </w:r>
      <w:r w:rsidRPr="00173CFD">
        <w:rPr>
          <w:rFonts w:ascii="Palatino Linotype" w:eastAsia="Arial" w:hAnsi="Palatino Linotype" w:cs="Times New Roman"/>
          <w:vertAlign w:val="superscript"/>
        </w:rPr>
        <w:t>23</w:t>
      </w:r>
      <w:r w:rsidRPr="00173CFD">
        <w:rPr>
          <w:rFonts w:ascii="Palatino Linotype" w:eastAsia="Arial" w:hAnsi="Palatino Linotype" w:cs="Times New Roman"/>
        </w:rPr>
        <w:t>. In addition, it has been revealed that women were more prone to ADRs than male</w:t>
      </w:r>
      <w:r w:rsidRPr="00173CFD">
        <w:rPr>
          <w:rFonts w:ascii="Palatino Linotype" w:eastAsia="Arial" w:hAnsi="Palatino Linotype" w:cs="Times New Roman"/>
          <w:vertAlign w:val="superscript"/>
        </w:rPr>
        <w:t>24</w:t>
      </w:r>
      <w:r w:rsidRPr="00173CFD">
        <w:rPr>
          <w:rFonts w:ascii="Palatino Linotype" w:eastAsia="Arial" w:hAnsi="Palatino Linotype" w:cs="Times New Roman"/>
        </w:rPr>
        <w:t>. (2) The latency periods of ADR in selected drugs. ADRs were classified as type A and type B according to drugsdose</w:t>
      </w:r>
      <w:r w:rsidRPr="00173CFD">
        <w:rPr>
          <w:rFonts w:ascii="Palatino Linotype" w:eastAsia="Arial" w:hAnsi="Palatino Linotype" w:cs="Times New Roman"/>
          <w:vertAlign w:val="superscript"/>
        </w:rPr>
        <w:t>18</w:t>
      </w:r>
      <w:r w:rsidRPr="00173CFD">
        <w:rPr>
          <w:rFonts w:ascii="Palatino Linotype" w:eastAsia="Arial" w:hAnsi="Palatino Linotype" w:cs="Times New Roman"/>
        </w:rPr>
        <w:t>. Therapeutic agents and the treatment period were reported to be associated with the latency and acuity of ADRs onset</w:t>
      </w:r>
      <w:r w:rsidRPr="00173CFD">
        <w:rPr>
          <w:rFonts w:ascii="Palatino Linotype" w:eastAsia="Arial" w:hAnsi="Palatino Linotype" w:cs="Times New Roman"/>
          <w:vertAlign w:val="superscript"/>
        </w:rPr>
        <w:t>25</w:t>
      </w:r>
      <w:r w:rsidRPr="00173CFD">
        <w:rPr>
          <w:rFonts w:ascii="Palatino Linotype" w:eastAsia="Arial" w:hAnsi="Palatino Linotype" w:cs="Times New Roman"/>
        </w:rPr>
        <w:t>. However, very little was known about the latency of ADRs’ of different medications. Our results have shown that about 55.74% of patients got ADRs due to the administration of Patent medicines of TCM. Further analyses showed that Patent medicines of TCM also had the shortest mean latency of ADRs. These data indicated that we should take more attention to the ADRs caused by Patent medicines of TCM. Our data also showed that both age and allergy histories were positively correlated with the latent periods of ADRs. (3) We emphasized the outcome of ADRs patients with or without intervention. A previous study suggested that the average length of hospital stay ranged from 8-17 days because of ADRs</w:t>
      </w:r>
      <w:r w:rsidRPr="00173CFD">
        <w:rPr>
          <w:rFonts w:ascii="Palatino Linotype" w:eastAsia="Arial" w:hAnsi="Palatino Linotype" w:cs="Times New Roman"/>
          <w:vertAlign w:val="superscript"/>
        </w:rPr>
        <w:t>6</w:t>
      </w:r>
      <w:r w:rsidRPr="00173CFD">
        <w:rPr>
          <w:rFonts w:ascii="Palatino Linotype" w:eastAsia="Arial" w:hAnsi="Palatino Linotype" w:cs="Times New Roman"/>
        </w:rPr>
        <w:t>. So we performed two weeks follow-up since ADRs happened to the end of ADRs with or without interventions.</w:t>
      </w:r>
    </w:p>
    <w:p w:rsidR="00173CFD" w:rsidRPr="00173CFD" w:rsidRDefault="00173CFD" w:rsidP="00173CFD">
      <w:pPr>
        <w:spacing w:line="0" w:lineRule="atLeast"/>
        <w:ind w:left="2520"/>
        <w:jc w:val="both"/>
        <w:rPr>
          <w:rFonts w:ascii="Palatino Linotype" w:eastAsia="Arial"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 xml:space="preserve">In the study, the majority of outpatients’ ADRs were typically related to patent medicines of TCM mainly it was difficult to classify, extract and </w:t>
      </w:r>
      <w:proofErr w:type="spellStart"/>
      <w:r w:rsidRPr="00173CFD">
        <w:rPr>
          <w:rFonts w:ascii="Palatino Linotype" w:eastAsia="Arial" w:hAnsi="Palatino Linotype" w:cs="Times New Roman"/>
        </w:rPr>
        <w:t>standardise</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Pharmacovigilance</w:t>
      </w:r>
      <w:proofErr w:type="spellEnd"/>
      <w:r w:rsidRPr="00173CFD">
        <w:rPr>
          <w:rFonts w:ascii="Palatino Linotype" w:eastAsia="Arial" w:hAnsi="Palatino Linotype" w:cs="Times New Roman"/>
        </w:rPr>
        <w:t xml:space="preserve"> in TCM safety surveillance is still facing many challenges in China. There are some limitations to our study. Further studies are needed to evaluate the frequency of patients administrated with Patent medicines of TCM.</w:t>
      </w:r>
    </w:p>
    <w:p w:rsidR="00F0593F" w:rsidRPr="00173CFD" w:rsidRDefault="00F0593F" w:rsidP="00173CFD">
      <w:pPr>
        <w:spacing w:line="0" w:lineRule="atLeast"/>
        <w:ind w:left="2520"/>
        <w:jc w:val="both"/>
        <w:rPr>
          <w:rFonts w:ascii="Palatino Linotype" w:eastAsia="Times New Roman" w:hAnsi="Palatino Linotype" w:cs="Times New Roman"/>
        </w:rPr>
      </w:pPr>
    </w:p>
    <w:p w:rsidR="00F0593F" w:rsidRPr="00173CFD" w:rsidRDefault="00173CFD" w:rsidP="00173CFD">
      <w:pPr>
        <w:numPr>
          <w:ilvl w:val="0"/>
          <w:numId w:val="14"/>
        </w:numPr>
        <w:spacing w:line="0" w:lineRule="atLeast"/>
        <w:ind w:left="2880"/>
        <w:jc w:val="both"/>
        <w:rPr>
          <w:rFonts w:ascii="Palatino Linotype" w:eastAsia="Arial" w:hAnsi="Palatino Linotype" w:cs="Times New Roman"/>
          <w:b/>
          <w:sz w:val="22"/>
        </w:rPr>
      </w:pPr>
      <w:r w:rsidRPr="00173CFD">
        <w:rPr>
          <w:rFonts w:ascii="Palatino Linotype" w:eastAsia="Arial" w:hAnsi="Palatino Linotype" w:cs="Times New Roman"/>
          <w:b/>
          <w:sz w:val="22"/>
        </w:rPr>
        <w:t>Conclusion</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By analysis of 357 female patients’ ADRs, it demonstrates that there is a correlation between suspected ADRs and the class of drugs or an individual’s history of allergy. To the specific patient such as using a drug that is apt to induce ADRs or a patient with prior allergies, it will be valuable for the medical team to draw attention to the entire course of medication. Furthermore, the population in intervention-positive groups is considerable, so we propose that actively medical therapies are necessary for particular ADR-exposed patients, which could have potentially positive consequence, such as cutting down the medical expenses, reducing the injury of body status, etc.</w:t>
      </w:r>
    </w:p>
    <w:p w:rsidR="00F0593F" w:rsidRPr="00173CFD" w:rsidRDefault="00F0593F" w:rsidP="00173CFD">
      <w:pPr>
        <w:spacing w:line="0" w:lineRule="atLeast"/>
        <w:ind w:left="2520"/>
        <w:jc w:val="both"/>
        <w:rPr>
          <w:rFonts w:ascii="Palatino Linotype" w:eastAsia="Times New Roman" w:hAnsi="Palatino Linotype" w:cs="Times New Roman"/>
        </w:rPr>
      </w:pP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SIGNIFICANCE STATEMENT</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 xml:space="preserve">This study discovers the characteristics of the ADRs in female patients that can be beneficial for providing an increasing number of female-patient based ADR database and valuable data to study </w:t>
      </w:r>
      <w:proofErr w:type="spellStart"/>
      <w:r w:rsidRPr="00173CFD">
        <w:rPr>
          <w:rFonts w:ascii="Palatino Linotype" w:eastAsia="Arial" w:hAnsi="Palatino Linotype" w:cs="Times New Roman"/>
        </w:rPr>
        <w:t>pharmacovigilance</w:t>
      </w:r>
      <w:proofErr w:type="spellEnd"/>
      <w:r w:rsidRPr="00173CFD">
        <w:rPr>
          <w:rFonts w:ascii="Palatino Linotype" w:eastAsia="Arial" w:hAnsi="Palatino Linotype" w:cs="Times New Roman"/>
        </w:rPr>
        <w:t>. This study will help the researcher to uncover the critical areas of the characteristics of the ADRs in female patients that many researchers were not able to explore. Thus, a new theory on the correlation between suspected ADRs and the class of drugs or an individual’s history of allergy may be arrived at.</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ACKNOWLEDGMENT</w:t>
      </w:r>
    </w:p>
    <w:p w:rsidR="00F0593F" w:rsidRPr="00173CFD" w:rsidRDefault="00F0593F" w:rsidP="00173CFD">
      <w:pPr>
        <w:spacing w:line="0" w:lineRule="atLeast"/>
        <w:ind w:left="2520"/>
        <w:jc w:val="both"/>
        <w:rPr>
          <w:rFonts w:ascii="Palatino Linotype" w:eastAsia="Arial" w:hAnsi="Palatino Linotype" w:cs="Times New Roman"/>
        </w:rPr>
      </w:pPr>
      <w:r w:rsidRPr="00173CFD">
        <w:rPr>
          <w:rFonts w:ascii="Palatino Linotype" w:eastAsia="Arial" w:hAnsi="Palatino Linotype" w:cs="Times New Roman"/>
        </w:rPr>
        <w:t xml:space="preserve">This work was supported by the Specialized Programs of Shanghai "Rising Stars of Medical Talent" Youth Development Program-Clinical Pharmacist Program </w:t>
      </w:r>
      <w:proofErr w:type="gramStart"/>
      <w:r w:rsidRPr="00173CFD">
        <w:rPr>
          <w:rFonts w:ascii="Palatino Linotype" w:eastAsia="Arial" w:hAnsi="Palatino Linotype" w:cs="Times New Roman"/>
        </w:rPr>
        <w:t>[ grant</w:t>
      </w:r>
      <w:proofErr w:type="gramEnd"/>
      <w:r w:rsidRPr="00173CFD">
        <w:rPr>
          <w:rFonts w:ascii="Palatino Linotype" w:eastAsia="Arial" w:hAnsi="Palatino Linotype" w:cs="Times New Roman"/>
        </w:rPr>
        <w:t xml:space="preserve"> number (2017) No. 5].</w:t>
      </w:r>
    </w:p>
    <w:p w:rsidR="00F0593F" w:rsidRPr="00173CFD" w:rsidRDefault="00F0593F" w:rsidP="00173CFD">
      <w:pPr>
        <w:spacing w:line="0" w:lineRule="atLeast"/>
        <w:jc w:val="both"/>
        <w:rPr>
          <w:rFonts w:ascii="Palatino Linotype" w:eastAsia="Times New Roman" w:hAnsi="Palatino Linotype" w:cs="Times New Roman"/>
        </w:rPr>
      </w:pPr>
    </w:p>
    <w:p w:rsidR="00F0593F" w:rsidRPr="00173CFD" w:rsidRDefault="00173CFD" w:rsidP="00173CFD">
      <w:pPr>
        <w:spacing w:line="360" w:lineRule="auto"/>
        <w:jc w:val="both"/>
        <w:rPr>
          <w:rFonts w:ascii="Palatino Linotype" w:eastAsia="Arial" w:hAnsi="Palatino Linotype" w:cs="Times New Roman"/>
          <w:b/>
          <w:sz w:val="24"/>
        </w:rPr>
      </w:pPr>
      <w:r w:rsidRPr="00173CFD">
        <w:rPr>
          <w:rFonts w:ascii="Palatino Linotype" w:eastAsia="Arial" w:hAnsi="Palatino Linotype" w:cs="Times New Roman"/>
          <w:b/>
          <w:sz w:val="24"/>
        </w:rPr>
        <w:t>References</w:t>
      </w:r>
    </w:p>
    <w:p w:rsidR="00F0593F" w:rsidRPr="00173CFD" w:rsidRDefault="00F0593F" w:rsidP="00173CFD">
      <w:pPr>
        <w:numPr>
          <w:ilvl w:val="0"/>
          <w:numId w:val="13"/>
        </w:numPr>
        <w:spacing w:line="360" w:lineRule="auto"/>
        <w:jc w:val="both"/>
        <w:rPr>
          <w:rFonts w:ascii="Palatino Linotype" w:eastAsia="Arial" w:hAnsi="Palatino Linotype" w:cs="Times New Roman"/>
        </w:rPr>
      </w:pPr>
      <w:proofErr w:type="gramStart"/>
      <w:r w:rsidRPr="00173CFD">
        <w:rPr>
          <w:rFonts w:ascii="Palatino Linotype" w:eastAsia="Arial" w:hAnsi="Palatino Linotype" w:cs="Times New Roman"/>
        </w:rPr>
        <w:t>van</w:t>
      </w:r>
      <w:proofErr w:type="gramEnd"/>
      <w:r w:rsidRPr="00173CFD">
        <w:rPr>
          <w:rFonts w:ascii="Palatino Linotype" w:eastAsia="Arial" w:hAnsi="Palatino Linotype" w:cs="Times New Roman"/>
        </w:rPr>
        <w:t xml:space="preserve"> Der </w:t>
      </w:r>
      <w:proofErr w:type="spellStart"/>
      <w:r w:rsidRPr="00173CFD">
        <w:rPr>
          <w:rFonts w:ascii="Palatino Linotype" w:eastAsia="Arial" w:hAnsi="Palatino Linotype" w:cs="Times New Roman"/>
        </w:rPr>
        <w:t>Hooft</w:t>
      </w:r>
      <w:proofErr w:type="spellEnd"/>
      <w:r w:rsidRPr="00173CFD">
        <w:rPr>
          <w:rFonts w:ascii="Palatino Linotype" w:eastAsia="Arial" w:hAnsi="Palatino Linotype" w:cs="Times New Roman"/>
        </w:rPr>
        <w:t xml:space="preserve">, C.S., M.C. </w:t>
      </w:r>
      <w:proofErr w:type="spellStart"/>
      <w:r w:rsidRPr="00173CFD">
        <w:rPr>
          <w:rFonts w:ascii="Palatino Linotype" w:eastAsia="Arial" w:hAnsi="Palatino Linotype" w:cs="Times New Roman"/>
        </w:rPr>
        <w:t>Sturkenboom</w:t>
      </w:r>
      <w:proofErr w:type="spellEnd"/>
      <w:r w:rsidRPr="00173CFD">
        <w:rPr>
          <w:rFonts w:ascii="Palatino Linotype" w:eastAsia="Arial" w:hAnsi="Palatino Linotype" w:cs="Times New Roman"/>
        </w:rPr>
        <w:t xml:space="preserve">, K. van </w:t>
      </w:r>
      <w:proofErr w:type="spellStart"/>
      <w:r w:rsidRPr="00173CFD">
        <w:rPr>
          <w:rFonts w:ascii="Palatino Linotype" w:eastAsia="Arial" w:hAnsi="Palatino Linotype" w:cs="Times New Roman"/>
        </w:rPr>
        <w:t>Grootheest</w:t>
      </w:r>
      <w:proofErr w:type="spellEnd"/>
      <w:r w:rsidRPr="00173CFD">
        <w:rPr>
          <w:rFonts w:ascii="Palatino Linotype" w:eastAsia="Arial" w:hAnsi="Palatino Linotype" w:cs="Times New Roman"/>
        </w:rPr>
        <w:t xml:space="preserve">, H.J. </w:t>
      </w:r>
      <w:proofErr w:type="spellStart"/>
      <w:r w:rsidRPr="00173CFD">
        <w:rPr>
          <w:rFonts w:ascii="Palatino Linotype" w:eastAsia="Arial" w:hAnsi="Palatino Linotype" w:cs="Times New Roman"/>
        </w:rPr>
        <w:t>Kingma</w:t>
      </w:r>
      <w:proofErr w:type="spellEnd"/>
      <w:r w:rsidRPr="00173CFD">
        <w:rPr>
          <w:rFonts w:ascii="Palatino Linotype" w:eastAsia="Arial" w:hAnsi="Palatino Linotype" w:cs="Times New Roman"/>
        </w:rPr>
        <w:t xml:space="preserve"> and B.H.C. </w:t>
      </w:r>
      <w:proofErr w:type="spellStart"/>
      <w:r w:rsidRPr="00173CFD">
        <w:rPr>
          <w:rFonts w:ascii="Palatino Linotype" w:eastAsia="Arial" w:hAnsi="Palatino Linotype" w:cs="Times New Roman"/>
        </w:rPr>
        <w:t>Stricker</w:t>
      </w:r>
      <w:proofErr w:type="spellEnd"/>
      <w:r w:rsidRPr="00173CFD">
        <w:rPr>
          <w:rFonts w:ascii="Palatino Linotype" w:eastAsia="Arial" w:hAnsi="Palatino Linotype" w:cs="Times New Roman"/>
        </w:rPr>
        <w:t xml:space="preserve">, 2006. Adverse drug reaction-related </w:t>
      </w:r>
      <w:proofErr w:type="spellStart"/>
      <w:r w:rsidRPr="00173CFD">
        <w:rPr>
          <w:rFonts w:ascii="Palatino Linotype" w:eastAsia="Arial" w:hAnsi="Palatino Linotype" w:cs="Times New Roman"/>
        </w:rPr>
        <w:t>hospitalisations</w:t>
      </w:r>
      <w:proofErr w:type="spellEnd"/>
      <w:r w:rsidRPr="00173CFD">
        <w:rPr>
          <w:rFonts w:ascii="Palatino Linotype" w:eastAsia="Arial" w:hAnsi="Palatino Linotype" w:cs="Times New Roman"/>
        </w:rPr>
        <w:t xml:space="preserve">: A nationwide study in the Netherlands. Drug </w:t>
      </w:r>
      <w:proofErr w:type="spellStart"/>
      <w:proofErr w:type="gramStart"/>
      <w:r w:rsidRPr="00173CFD">
        <w:rPr>
          <w:rFonts w:ascii="Palatino Linotype" w:eastAsia="Arial" w:hAnsi="Palatino Linotype" w:cs="Times New Roman"/>
        </w:rPr>
        <w:t>Saf</w:t>
      </w:r>
      <w:proofErr w:type="spellEnd"/>
      <w:r w:rsidRPr="00173CFD">
        <w:rPr>
          <w:rFonts w:ascii="Palatino Linotype" w:eastAsia="Arial" w:hAnsi="Palatino Linotype" w:cs="Times New Roman"/>
        </w:rPr>
        <w:t>.,</w:t>
      </w:r>
      <w:proofErr w:type="gramEnd"/>
      <w:r w:rsidRPr="00173CFD">
        <w:rPr>
          <w:rFonts w:ascii="Palatino Linotype" w:eastAsia="Arial" w:hAnsi="Palatino Linotype" w:cs="Times New Roman"/>
        </w:rPr>
        <w:t xml:space="preserve"> 29: 161-168.</w:t>
      </w:r>
    </w:p>
    <w:p w:rsidR="00F0593F" w:rsidRPr="00173CFD" w:rsidRDefault="00F0593F" w:rsidP="00173CFD">
      <w:pPr>
        <w:numPr>
          <w:ilvl w:val="0"/>
          <w:numId w:val="13"/>
        </w:numPr>
        <w:spacing w:line="360" w:lineRule="auto"/>
        <w:jc w:val="both"/>
        <w:rPr>
          <w:rFonts w:ascii="Palatino Linotype" w:eastAsia="Arial" w:hAnsi="Palatino Linotype" w:cs="Times New Roman"/>
        </w:rPr>
      </w:pPr>
      <w:r w:rsidRPr="00173CFD">
        <w:rPr>
          <w:rFonts w:ascii="Palatino Linotype" w:eastAsia="Arial" w:hAnsi="Palatino Linotype" w:cs="Times New Roman"/>
        </w:rPr>
        <w:t xml:space="preserve">Wolf, R., E. Orion, B. Marcos and H. </w:t>
      </w:r>
      <w:proofErr w:type="spellStart"/>
      <w:r w:rsidRPr="00173CFD">
        <w:rPr>
          <w:rFonts w:ascii="Palatino Linotype" w:eastAsia="Arial" w:hAnsi="Palatino Linotype" w:cs="Times New Roman"/>
        </w:rPr>
        <w:t>Matz</w:t>
      </w:r>
      <w:proofErr w:type="spellEnd"/>
      <w:r w:rsidRPr="00173CFD">
        <w:rPr>
          <w:rFonts w:ascii="Palatino Linotype" w:eastAsia="Arial" w:hAnsi="Palatino Linotype" w:cs="Times New Roman"/>
        </w:rPr>
        <w:t xml:space="preserve">, 2005. Life-threatening acute adverse cutaneous drug reactions. </w:t>
      </w:r>
      <w:proofErr w:type="spellStart"/>
      <w:r w:rsidRPr="00173CFD">
        <w:rPr>
          <w:rFonts w:ascii="Palatino Linotype" w:eastAsia="Arial" w:hAnsi="Palatino Linotype" w:cs="Times New Roman"/>
        </w:rPr>
        <w:t>Clin</w:t>
      </w:r>
      <w:proofErr w:type="spellEnd"/>
      <w:r w:rsidRPr="00173CFD">
        <w:rPr>
          <w:rFonts w:ascii="Palatino Linotype" w:eastAsia="Arial" w:hAnsi="Palatino Linotype" w:cs="Times New Roman"/>
        </w:rPr>
        <w:t xml:space="preserve">. </w:t>
      </w:r>
      <w:proofErr w:type="spellStart"/>
      <w:proofErr w:type="gramStart"/>
      <w:r w:rsidRPr="00173CFD">
        <w:rPr>
          <w:rFonts w:ascii="Palatino Linotype" w:eastAsia="Arial" w:hAnsi="Palatino Linotype" w:cs="Times New Roman"/>
        </w:rPr>
        <w:t>Dermatol</w:t>
      </w:r>
      <w:proofErr w:type="spellEnd"/>
      <w:r w:rsidRPr="00173CFD">
        <w:rPr>
          <w:rFonts w:ascii="Palatino Linotype" w:eastAsia="Arial" w:hAnsi="Palatino Linotype" w:cs="Times New Roman"/>
        </w:rPr>
        <w:t>.,</w:t>
      </w:r>
      <w:proofErr w:type="gramEnd"/>
      <w:r w:rsidRPr="00173CFD">
        <w:rPr>
          <w:rFonts w:ascii="Palatino Linotype" w:eastAsia="Arial" w:hAnsi="Palatino Linotype" w:cs="Times New Roman"/>
        </w:rPr>
        <w:t xml:space="preserve"> 23: 171-181.</w:t>
      </w:r>
    </w:p>
    <w:p w:rsidR="00F0593F" w:rsidRPr="00173CFD" w:rsidRDefault="00F0593F" w:rsidP="00173CFD">
      <w:pPr>
        <w:numPr>
          <w:ilvl w:val="0"/>
          <w:numId w:val="13"/>
        </w:numPr>
        <w:spacing w:line="360" w:lineRule="auto"/>
        <w:jc w:val="both"/>
        <w:rPr>
          <w:rFonts w:ascii="Palatino Linotype" w:eastAsia="Arial" w:hAnsi="Palatino Linotype" w:cs="Times New Roman"/>
        </w:rPr>
      </w:pPr>
      <w:proofErr w:type="spellStart"/>
      <w:r w:rsidRPr="00173CFD">
        <w:rPr>
          <w:rFonts w:ascii="Palatino Linotype" w:eastAsia="Arial" w:hAnsi="Palatino Linotype" w:cs="Times New Roman"/>
        </w:rPr>
        <w:t>Dormann</w:t>
      </w:r>
      <w:proofErr w:type="spellEnd"/>
      <w:r w:rsidRPr="00173CFD">
        <w:rPr>
          <w:rFonts w:ascii="Palatino Linotype" w:eastAsia="Arial" w:hAnsi="Palatino Linotype" w:cs="Times New Roman"/>
        </w:rPr>
        <w:t xml:space="preserve">, H., A. </w:t>
      </w:r>
      <w:proofErr w:type="spellStart"/>
      <w:r w:rsidRPr="00173CFD">
        <w:rPr>
          <w:rFonts w:ascii="Palatino Linotype" w:eastAsia="Arial" w:hAnsi="Palatino Linotype" w:cs="Times New Roman"/>
        </w:rPr>
        <w:t>Neubert</w:t>
      </w:r>
      <w:proofErr w:type="spellEnd"/>
      <w:r w:rsidRPr="00173CFD">
        <w:rPr>
          <w:rFonts w:ascii="Palatino Linotype" w:eastAsia="Arial" w:hAnsi="Palatino Linotype" w:cs="Times New Roman"/>
        </w:rPr>
        <w:t xml:space="preserve">, M. </w:t>
      </w:r>
      <w:proofErr w:type="spellStart"/>
      <w:r w:rsidRPr="00173CFD">
        <w:rPr>
          <w:rFonts w:ascii="Palatino Linotype" w:eastAsia="Arial" w:hAnsi="Palatino Linotype" w:cs="Times New Roman"/>
        </w:rPr>
        <w:t>Criegee-Rieck</w:t>
      </w:r>
      <w:proofErr w:type="spellEnd"/>
      <w:r w:rsidRPr="00173CFD">
        <w:rPr>
          <w:rFonts w:ascii="Palatino Linotype" w:eastAsia="Arial" w:hAnsi="Palatino Linotype" w:cs="Times New Roman"/>
        </w:rPr>
        <w:t xml:space="preserve">, T. Egger and M. </w:t>
      </w:r>
      <w:proofErr w:type="spellStart"/>
      <w:r w:rsidRPr="00173CFD">
        <w:rPr>
          <w:rFonts w:ascii="Palatino Linotype" w:eastAsia="Arial" w:hAnsi="Palatino Linotype" w:cs="Times New Roman"/>
        </w:rPr>
        <w:t>Radespiel-Tröger</w:t>
      </w:r>
      <w:proofErr w:type="spellEnd"/>
      <w:r w:rsidRPr="00173CFD">
        <w:rPr>
          <w:rFonts w:ascii="Palatino Linotype" w:eastAsia="Arial" w:hAnsi="Palatino Linotype" w:cs="Times New Roman"/>
        </w:rPr>
        <w:t xml:space="preserve"> et al., 2004. Readmissions and adverse drug reactions in internal medicine: The economic impact. J. Intern. Med., 6: 653-663.</w:t>
      </w:r>
    </w:p>
    <w:p w:rsidR="00F0593F" w:rsidRPr="00173CFD" w:rsidRDefault="00F0593F" w:rsidP="00173CFD">
      <w:pPr>
        <w:numPr>
          <w:ilvl w:val="0"/>
          <w:numId w:val="13"/>
        </w:numPr>
        <w:spacing w:line="360" w:lineRule="auto"/>
        <w:jc w:val="both"/>
        <w:rPr>
          <w:rFonts w:ascii="Palatino Linotype" w:eastAsia="Arial" w:hAnsi="Palatino Linotype" w:cs="Times New Roman"/>
        </w:rPr>
      </w:pPr>
      <w:r w:rsidRPr="00173CFD">
        <w:rPr>
          <w:rFonts w:ascii="Palatino Linotype" w:eastAsia="Arial" w:hAnsi="Palatino Linotype" w:cs="Times New Roman"/>
        </w:rPr>
        <w:t xml:space="preserve">McNeil, B.D., P. </w:t>
      </w:r>
      <w:proofErr w:type="spellStart"/>
      <w:r w:rsidRPr="00173CFD">
        <w:rPr>
          <w:rFonts w:ascii="Palatino Linotype" w:eastAsia="Arial" w:hAnsi="Palatino Linotype" w:cs="Times New Roman"/>
        </w:rPr>
        <w:t>Pundir</w:t>
      </w:r>
      <w:proofErr w:type="spellEnd"/>
      <w:r w:rsidRPr="00173CFD">
        <w:rPr>
          <w:rFonts w:ascii="Palatino Linotype" w:eastAsia="Arial" w:hAnsi="Palatino Linotype" w:cs="Times New Roman"/>
        </w:rPr>
        <w:t xml:space="preserve">, S. Meeker, L. Han, B.J. </w:t>
      </w:r>
      <w:proofErr w:type="spellStart"/>
      <w:r w:rsidRPr="00173CFD">
        <w:rPr>
          <w:rFonts w:ascii="Palatino Linotype" w:eastAsia="Arial" w:hAnsi="Palatino Linotype" w:cs="Times New Roman"/>
        </w:rPr>
        <w:t>Undem</w:t>
      </w:r>
      <w:proofErr w:type="spellEnd"/>
      <w:r w:rsidRPr="00173CFD">
        <w:rPr>
          <w:rFonts w:ascii="Palatino Linotype" w:eastAsia="Arial" w:hAnsi="Palatino Linotype" w:cs="Times New Roman"/>
        </w:rPr>
        <w:t xml:space="preserve">, M. </w:t>
      </w:r>
      <w:proofErr w:type="spellStart"/>
      <w:r w:rsidRPr="00173CFD">
        <w:rPr>
          <w:rFonts w:ascii="Palatino Linotype" w:eastAsia="Arial" w:hAnsi="Palatino Linotype" w:cs="Times New Roman"/>
        </w:rPr>
        <w:t>Kulka</w:t>
      </w:r>
      <w:proofErr w:type="spellEnd"/>
      <w:r w:rsidRPr="00173CFD">
        <w:rPr>
          <w:rFonts w:ascii="Palatino Linotype" w:eastAsia="Arial" w:hAnsi="Palatino Linotype" w:cs="Times New Roman"/>
        </w:rPr>
        <w:t xml:space="preserve"> and X. Dong, 2015. Identification of a mast-cell-specific receptor crucial for pseudo-allergic drug reactions. Nature, 519: 237-241.</w:t>
      </w:r>
    </w:p>
    <w:p w:rsidR="00F0593F" w:rsidRPr="00173CFD" w:rsidRDefault="00F0593F" w:rsidP="00173CFD">
      <w:pPr>
        <w:numPr>
          <w:ilvl w:val="0"/>
          <w:numId w:val="13"/>
        </w:numPr>
        <w:spacing w:line="360" w:lineRule="auto"/>
        <w:jc w:val="both"/>
        <w:rPr>
          <w:rFonts w:ascii="Palatino Linotype" w:eastAsia="Arial" w:hAnsi="Palatino Linotype" w:cs="Times New Roman"/>
        </w:rPr>
      </w:pPr>
      <w:r w:rsidRPr="00173CFD">
        <w:rPr>
          <w:rFonts w:ascii="Palatino Linotype" w:eastAsia="Arial" w:hAnsi="Palatino Linotype" w:cs="Times New Roman"/>
        </w:rPr>
        <w:t xml:space="preserve">Deng, Q., X. Fang, Q. </w:t>
      </w:r>
      <w:proofErr w:type="spellStart"/>
      <w:r w:rsidRPr="00173CFD">
        <w:rPr>
          <w:rFonts w:ascii="Palatino Linotype" w:eastAsia="Arial" w:hAnsi="Palatino Linotype" w:cs="Times New Roman"/>
        </w:rPr>
        <w:t>Zeng</w:t>
      </w:r>
      <w:proofErr w:type="spellEnd"/>
      <w:r w:rsidRPr="00173CFD">
        <w:rPr>
          <w:rFonts w:ascii="Palatino Linotype" w:eastAsia="Arial" w:hAnsi="Palatino Linotype" w:cs="Times New Roman"/>
        </w:rPr>
        <w:t xml:space="preserve">, J. Lu, C. Jing and J. Huang, 2017. Severe cutaneous adverse drug reactions of Chinese inpatients: A meta-analysis. </w:t>
      </w:r>
      <w:proofErr w:type="spellStart"/>
      <w:r w:rsidRPr="00173CFD">
        <w:rPr>
          <w:rFonts w:ascii="Palatino Linotype" w:eastAsia="Arial" w:hAnsi="Palatino Linotype" w:cs="Times New Roman"/>
        </w:rPr>
        <w:t>Anais</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Brasileiros</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Dermatol</w:t>
      </w:r>
      <w:proofErr w:type="spellEnd"/>
      <w:r w:rsidRPr="00173CFD">
        <w:rPr>
          <w:rFonts w:ascii="Palatino Linotype" w:eastAsia="Arial" w:hAnsi="Palatino Linotype" w:cs="Times New Roman"/>
        </w:rPr>
        <w:t>., 92: 345-349.</w:t>
      </w:r>
    </w:p>
    <w:p w:rsidR="00F0593F" w:rsidRPr="00173CFD" w:rsidRDefault="00F0593F" w:rsidP="00173CFD">
      <w:pPr>
        <w:numPr>
          <w:ilvl w:val="0"/>
          <w:numId w:val="13"/>
        </w:numPr>
        <w:spacing w:line="360" w:lineRule="auto"/>
        <w:jc w:val="both"/>
        <w:rPr>
          <w:rFonts w:ascii="Palatino Linotype" w:eastAsia="Arial" w:hAnsi="Palatino Linotype" w:cs="Times New Roman"/>
        </w:rPr>
      </w:pPr>
      <w:proofErr w:type="spellStart"/>
      <w:r w:rsidRPr="00173CFD">
        <w:rPr>
          <w:rFonts w:ascii="Palatino Linotype" w:eastAsia="Arial" w:hAnsi="Palatino Linotype" w:cs="Times New Roman"/>
        </w:rPr>
        <w:t>Giardina</w:t>
      </w:r>
      <w:proofErr w:type="spellEnd"/>
      <w:r w:rsidRPr="00173CFD">
        <w:rPr>
          <w:rFonts w:ascii="Palatino Linotype" w:eastAsia="Arial" w:hAnsi="Palatino Linotype" w:cs="Times New Roman"/>
        </w:rPr>
        <w:t xml:space="preserve">, C., P.M. </w:t>
      </w:r>
      <w:proofErr w:type="spellStart"/>
      <w:r w:rsidRPr="00173CFD">
        <w:rPr>
          <w:rFonts w:ascii="Palatino Linotype" w:eastAsia="Arial" w:hAnsi="Palatino Linotype" w:cs="Times New Roman"/>
        </w:rPr>
        <w:t>Cutroneo</w:t>
      </w:r>
      <w:proofErr w:type="spellEnd"/>
      <w:r w:rsidRPr="00173CFD">
        <w:rPr>
          <w:rFonts w:ascii="Palatino Linotype" w:eastAsia="Arial" w:hAnsi="Palatino Linotype" w:cs="Times New Roman"/>
        </w:rPr>
        <w:t xml:space="preserve">, E. </w:t>
      </w:r>
      <w:proofErr w:type="spellStart"/>
      <w:r w:rsidRPr="00173CFD">
        <w:rPr>
          <w:rFonts w:ascii="Palatino Linotype" w:eastAsia="Arial" w:hAnsi="Palatino Linotype" w:cs="Times New Roman"/>
        </w:rPr>
        <w:t>Mocciaro</w:t>
      </w:r>
      <w:proofErr w:type="spellEnd"/>
      <w:r w:rsidRPr="00173CFD">
        <w:rPr>
          <w:rFonts w:ascii="Palatino Linotype" w:eastAsia="Arial" w:hAnsi="Palatino Linotype" w:cs="Times New Roman"/>
        </w:rPr>
        <w:t xml:space="preserve">, G.T. Russo and G. </w:t>
      </w:r>
      <w:proofErr w:type="spellStart"/>
      <w:r w:rsidRPr="00173CFD">
        <w:rPr>
          <w:rFonts w:ascii="Palatino Linotype" w:eastAsia="Arial" w:hAnsi="Palatino Linotype" w:cs="Times New Roman"/>
        </w:rPr>
        <w:t>Mandraffino</w:t>
      </w:r>
      <w:proofErr w:type="spellEnd"/>
      <w:r w:rsidRPr="00173CFD">
        <w:rPr>
          <w:rFonts w:ascii="Palatino Linotype" w:eastAsia="Arial" w:hAnsi="Palatino Linotype" w:cs="Times New Roman"/>
        </w:rPr>
        <w:t xml:space="preserve"> et al., 2018. Adverse drug reactions in hospitalized patients: Results of the FORWARD (facilitation of reporting in hospital ward) study. Front. </w:t>
      </w:r>
      <w:proofErr w:type="spellStart"/>
      <w:proofErr w:type="gramStart"/>
      <w:r w:rsidRPr="00173CFD">
        <w:rPr>
          <w:rFonts w:ascii="Palatino Linotype" w:eastAsia="Arial" w:hAnsi="Palatino Linotype" w:cs="Times New Roman"/>
        </w:rPr>
        <w:t>Pharmacol</w:t>
      </w:r>
      <w:proofErr w:type="spellEnd"/>
      <w:r w:rsidRPr="00173CFD">
        <w:rPr>
          <w:rFonts w:ascii="Palatino Linotype" w:eastAsia="Arial" w:hAnsi="Palatino Linotype" w:cs="Times New Roman"/>
        </w:rPr>
        <w:t>.,</w:t>
      </w:r>
      <w:proofErr w:type="gramEnd"/>
      <w:r w:rsidRPr="00173CFD">
        <w:rPr>
          <w:rFonts w:ascii="Palatino Linotype" w:eastAsia="Arial" w:hAnsi="Palatino Linotype" w:cs="Times New Roman"/>
        </w:rPr>
        <w:t xml:space="preserve"> Vol. 9. 10.3389/fphar.2018.00350</w:t>
      </w:r>
    </w:p>
    <w:p w:rsidR="00F0593F" w:rsidRPr="00173CFD" w:rsidRDefault="00F0593F" w:rsidP="00173CFD">
      <w:pPr>
        <w:numPr>
          <w:ilvl w:val="0"/>
          <w:numId w:val="13"/>
        </w:numPr>
        <w:spacing w:line="360" w:lineRule="auto"/>
        <w:jc w:val="both"/>
        <w:rPr>
          <w:rFonts w:ascii="Palatino Linotype" w:eastAsia="Arial" w:hAnsi="Palatino Linotype" w:cs="Times New Roman"/>
        </w:rPr>
      </w:pPr>
      <w:r w:rsidRPr="00173CFD">
        <w:rPr>
          <w:rFonts w:ascii="Palatino Linotype" w:eastAsia="Arial" w:hAnsi="Palatino Linotype" w:cs="Times New Roman"/>
        </w:rPr>
        <w:t xml:space="preserve">Geer, M.I., P.A. </w:t>
      </w:r>
      <w:proofErr w:type="spellStart"/>
      <w:r w:rsidRPr="00173CFD">
        <w:rPr>
          <w:rFonts w:ascii="Palatino Linotype" w:eastAsia="Arial" w:hAnsi="Palatino Linotype" w:cs="Times New Roman"/>
        </w:rPr>
        <w:t>Koul</w:t>
      </w:r>
      <w:proofErr w:type="spellEnd"/>
      <w:r w:rsidRPr="00173CFD">
        <w:rPr>
          <w:rFonts w:ascii="Palatino Linotype" w:eastAsia="Arial" w:hAnsi="Palatino Linotype" w:cs="Times New Roman"/>
        </w:rPr>
        <w:t xml:space="preserve">, S.A. </w:t>
      </w:r>
      <w:proofErr w:type="spellStart"/>
      <w:r w:rsidRPr="00173CFD">
        <w:rPr>
          <w:rFonts w:ascii="Palatino Linotype" w:eastAsia="Arial" w:hAnsi="Palatino Linotype" w:cs="Times New Roman"/>
        </w:rPr>
        <w:t>Tanki</w:t>
      </w:r>
      <w:proofErr w:type="spellEnd"/>
      <w:r w:rsidRPr="00173CFD">
        <w:rPr>
          <w:rFonts w:ascii="Palatino Linotype" w:eastAsia="Arial" w:hAnsi="Palatino Linotype" w:cs="Times New Roman"/>
        </w:rPr>
        <w:t xml:space="preserve"> and M.Y. Shah, 2016. Frequency, types, severity, preventability and costs of adverse drug reactions at a tertiary care hospital. J. </w:t>
      </w:r>
      <w:proofErr w:type="spellStart"/>
      <w:r w:rsidRPr="00173CFD">
        <w:rPr>
          <w:rFonts w:ascii="Palatino Linotype" w:eastAsia="Arial" w:hAnsi="Palatino Linotype" w:cs="Times New Roman"/>
        </w:rPr>
        <w:t>Pharmacol</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Toxicol</w:t>
      </w:r>
      <w:proofErr w:type="spellEnd"/>
      <w:r w:rsidRPr="00173CFD">
        <w:rPr>
          <w:rFonts w:ascii="Palatino Linotype" w:eastAsia="Arial" w:hAnsi="Palatino Linotype" w:cs="Times New Roman"/>
        </w:rPr>
        <w:t>. Methods, 81: 323-334.</w:t>
      </w:r>
    </w:p>
    <w:p w:rsidR="00F0593F" w:rsidRPr="00173CFD" w:rsidRDefault="00F0593F" w:rsidP="00173CFD">
      <w:pPr>
        <w:numPr>
          <w:ilvl w:val="0"/>
          <w:numId w:val="13"/>
        </w:numPr>
        <w:spacing w:line="360" w:lineRule="auto"/>
        <w:jc w:val="both"/>
        <w:rPr>
          <w:rFonts w:ascii="Palatino Linotype" w:eastAsia="Arial" w:hAnsi="Palatino Linotype" w:cs="Times New Roman"/>
        </w:rPr>
      </w:pPr>
      <w:proofErr w:type="spellStart"/>
      <w:r w:rsidRPr="00173CFD">
        <w:rPr>
          <w:rFonts w:ascii="Palatino Linotype" w:eastAsia="Arial" w:hAnsi="Palatino Linotype" w:cs="Times New Roman"/>
        </w:rPr>
        <w:t>Priyadharsini</w:t>
      </w:r>
      <w:proofErr w:type="spellEnd"/>
      <w:r w:rsidRPr="00173CFD">
        <w:rPr>
          <w:rFonts w:ascii="Palatino Linotype" w:eastAsia="Arial" w:hAnsi="Palatino Linotype" w:cs="Times New Roman"/>
        </w:rPr>
        <w:t xml:space="preserve">, R., A. </w:t>
      </w:r>
      <w:proofErr w:type="spellStart"/>
      <w:r w:rsidRPr="00173CFD">
        <w:rPr>
          <w:rFonts w:ascii="Palatino Linotype" w:eastAsia="Arial" w:hAnsi="Palatino Linotype" w:cs="Times New Roman"/>
        </w:rPr>
        <w:t>Surendiran</w:t>
      </w:r>
      <w:proofErr w:type="spellEnd"/>
      <w:r w:rsidRPr="00173CFD">
        <w:rPr>
          <w:rFonts w:ascii="Palatino Linotype" w:eastAsia="Arial" w:hAnsi="Palatino Linotype" w:cs="Times New Roman"/>
        </w:rPr>
        <w:t xml:space="preserve">, C. </w:t>
      </w:r>
      <w:proofErr w:type="spellStart"/>
      <w:r w:rsidRPr="00173CFD">
        <w:rPr>
          <w:rFonts w:ascii="Palatino Linotype" w:eastAsia="Arial" w:hAnsi="Palatino Linotype" w:cs="Times New Roman"/>
        </w:rPr>
        <w:t>Adithan</w:t>
      </w:r>
      <w:proofErr w:type="spellEnd"/>
      <w:r w:rsidRPr="00173CFD">
        <w:rPr>
          <w:rFonts w:ascii="Palatino Linotype" w:eastAsia="Arial" w:hAnsi="Palatino Linotype" w:cs="Times New Roman"/>
        </w:rPr>
        <w:t xml:space="preserve">, S. </w:t>
      </w:r>
      <w:proofErr w:type="spellStart"/>
      <w:r w:rsidRPr="00173CFD">
        <w:rPr>
          <w:rFonts w:ascii="Palatino Linotype" w:eastAsia="Arial" w:hAnsi="Palatino Linotype" w:cs="Times New Roman"/>
        </w:rPr>
        <w:t>Sreenivasan</w:t>
      </w:r>
      <w:proofErr w:type="spellEnd"/>
      <w:r w:rsidRPr="00173CFD">
        <w:rPr>
          <w:rFonts w:ascii="Palatino Linotype" w:eastAsia="Arial" w:hAnsi="Palatino Linotype" w:cs="Times New Roman"/>
        </w:rPr>
        <w:t xml:space="preserve"> and F.K. </w:t>
      </w:r>
      <w:proofErr w:type="spellStart"/>
      <w:r w:rsidRPr="00173CFD">
        <w:rPr>
          <w:rFonts w:ascii="Palatino Linotype" w:eastAsia="Arial" w:hAnsi="Palatino Linotype" w:cs="Times New Roman"/>
        </w:rPr>
        <w:t>Sahoo</w:t>
      </w:r>
      <w:proofErr w:type="spellEnd"/>
      <w:r w:rsidRPr="00173CFD">
        <w:rPr>
          <w:rFonts w:ascii="Palatino Linotype" w:eastAsia="Arial" w:hAnsi="Palatino Linotype" w:cs="Times New Roman"/>
        </w:rPr>
        <w:t xml:space="preserve">, 2011. A study of adverse drug reactions in pediatric patients. J. </w:t>
      </w:r>
      <w:proofErr w:type="spellStart"/>
      <w:r w:rsidRPr="00173CFD">
        <w:rPr>
          <w:rFonts w:ascii="Palatino Linotype" w:eastAsia="Arial" w:hAnsi="Palatino Linotype" w:cs="Times New Roman"/>
        </w:rPr>
        <w:t>Pharmacol</w:t>
      </w:r>
      <w:proofErr w:type="spellEnd"/>
      <w:r w:rsidRPr="00173CFD">
        <w:rPr>
          <w:rFonts w:ascii="Palatino Linotype" w:eastAsia="Arial" w:hAnsi="Palatino Linotype" w:cs="Times New Roman"/>
        </w:rPr>
        <w:t xml:space="preserve">. </w:t>
      </w:r>
      <w:proofErr w:type="spellStart"/>
      <w:r w:rsidRPr="00173CFD">
        <w:rPr>
          <w:rFonts w:ascii="Palatino Linotype" w:eastAsia="Arial" w:hAnsi="Palatino Linotype" w:cs="Times New Roman"/>
        </w:rPr>
        <w:t>Pharmacother</w:t>
      </w:r>
      <w:proofErr w:type="spellEnd"/>
      <w:r w:rsidRPr="00173CFD">
        <w:rPr>
          <w:rFonts w:ascii="Palatino Linotype" w:eastAsia="Arial" w:hAnsi="Palatino Linotype" w:cs="Times New Roman"/>
        </w:rPr>
        <w:t>, 2: 277-280.</w:t>
      </w:r>
    </w:p>
    <w:p w:rsidR="00173CFD" w:rsidRDefault="00173CFD" w:rsidP="00173CFD">
      <w:pPr>
        <w:spacing w:before="100" w:after="40" w:line="360" w:lineRule="auto"/>
        <w:contextualSpacing/>
        <w:jc w:val="center"/>
        <w:rPr>
          <w:rFonts w:ascii="Palatino Linotype" w:eastAsia="SimSun" w:hAnsi="Palatino Linotype"/>
          <w:noProof/>
          <w:color w:val="222222"/>
          <w:sz w:val="44"/>
          <w:shd w:val="clear" w:color="auto" w:fill="FFFFFF"/>
          <w:lang w:eastAsia="zh-CN"/>
        </w:rPr>
      </w:pPr>
      <w:r w:rsidRPr="00E22BD2">
        <w:rPr>
          <w:rFonts w:ascii="Palatino Linotype" w:eastAsia="SimSun" w:hAnsi="Palatino Linotype"/>
          <w:noProof/>
          <w:color w:val="222222"/>
          <w:sz w:val="44"/>
          <w:shd w:val="clear" w:color="auto" w:fill="FFFFFF"/>
          <w:lang w:eastAsia="zh-CN"/>
        </w:rPr>
        <w:t>***</w:t>
      </w:r>
    </w:p>
    <w:p w:rsidR="00173CFD" w:rsidRDefault="00173CFD" w:rsidP="00173CFD">
      <w:pPr>
        <w:spacing w:before="100" w:after="40" w:line="360" w:lineRule="auto"/>
        <w:contextualSpacing/>
        <w:jc w:val="center"/>
        <w:rPr>
          <w:rFonts w:ascii="Palatino Linotype" w:eastAsia="SimSun" w:hAnsi="Palatino Linotype"/>
          <w:noProof/>
          <w:color w:val="222222"/>
          <w:sz w:val="44"/>
          <w:shd w:val="clear" w:color="auto" w:fill="FFFFFF"/>
          <w:lang w:eastAsia="zh-CN"/>
        </w:rPr>
      </w:pPr>
    </w:p>
    <w:p w:rsidR="00173CFD" w:rsidRDefault="00173CFD" w:rsidP="00173CFD">
      <w:pPr>
        <w:spacing w:before="100" w:after="40" w:line="360" w:lineRule="auto"/>
        <w:contextualSpacing/>
        <w:jc w:val="center"/>
        <w:rPr>
          <w:rFonts w:ascii="Palatino Linotype" w:eastAsia="SimSun" w:hAnsi="Palatino Linotype"/>
          <w:noProof/>
          <w:color w:val="222222"/>
          <w:sz w:val="44"/>
          <w:shd w:val="clear" w:color="auto" w:fill="FFFFFF"/>
          <w:lang w:eastAsia="zh-CN"/>
        </w:rPr>
      </w:pPr>
    </w:p>
    <w:p w:rsidR="0024694E" w:rsidRDefault="0024694E" w:rsidP="00173CFD">
      <w:pPr>
        <w:spacing w:before="100" w:after="40" w:line="360" w:lineRule="auto"/>
        <w:contextualSpacing/>
        <w:jc w:val="center"/>
        <w:rPr>
          <w:rFonts w:ascii="Palatino Linotype" w:eastAsia="SimSun" w:hAnsi="Palatino Linotype"/>
          <w:noProof/>
          <w:color w:val="222222"/>
          <w:sz w:val="44"/>
          <w:shd w:val="clear" w:color="auto" w:fill="FFFFFF"/>
          <w:lang w:eastAsia="zh-CN"/>
        </w:rPr>
      </w:pPr>
    </w:p>
    <w:p w:rsidR="0024694E" w:rsidRDefault="0024694E" w:rsidP="00173CFD">
      <w:pPr>
        <w:spacing w:before="100" w:after="40" w:line="360" w:lineRule="auto"/>
        <w:contextualSpacing/>
        <w:jc w:val="center"/>
        <w:rPr>
          <w:rFonts w:ascii="Palatino Linotype" w:eastAsia="SimSun" w:hAnsi="Palatino Linotype"/>
          <w:noProof/>
          <w:color w:val="222222"/>
          <w:sz w:val="44"/>
          <w:shd w:val="clear" w:color="auto" w:fill="FFFFFF"/>
          <w:lang w:eastAsia="zh-CN"/>
        </w:rPr>
      </w:pPr>
    </w:p>
    <w:p w:rsidR="00F0593F" w:rsidRPr="00173CFD" w:rsidRDefault="00F0593F" w:rsidP="00173CFD">
      <w:pPr>
        <w:spacing w:line="0" w:lineRule="atLeast"/>
        <w:jc w:val="both"/>
        <w:rPr>
          <w:rFonts w:ascii="Palatino Linotype" w:eastAsia="Arial" w:hAnsi="Palatino Linotype" w:cs="Times New Roman"/>
        </w:rPr>
      </w:pPr>
    </w:p>
    <w:sectPr w:rsidR="00F0593F" w:rsidRPr="00173CFD" w:rsidSect="00173CFD">
      <w:type w:val="continuous"/>
      <w:pgSz w:w="11909" w:h="16834" w:code="9"/>
      <w:pgMar w:top="1440" w:right="720" w:bottom="720" w:left="720" w:header="720" w:footer="346" w:gutter="0"/>
      <w:cols w:space="56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37D6" w:rsidRDefault="00E437D6" w:rsidP="0014616C">
      <w:r>
        <w:separator/>
      </w:r>
    </w:p>
  </w:endnote>
  <w:endnote w:type="continuationSeparator" w:id="0">
    <w:p w:rsidR="00E437D6" w:rsidRDefault="00E437D6" w:rsidP="00146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altName w:val="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w:altName w:val="Arial Unicode MS"/>
    <w:charset w:val="86"/>
    <w:family w:val="auto"/>
    <w:pitch w:val="variable"/>
    <w:sig w:usb0="00000000"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94E" w:rsidRDefault="0024694E" w:rsidP="0024694E">
    <w:pPr>
      <w:pStyle w:val="MDPIfooterfirstpage"/>
      <w:pBdr>
        <w:top w:val="single" w:sz="4" w:space="0" w:color="000000"/>
      </w:pBdr>
      <w:adjustRightInd w:val="0"/>
      <w:snapToGrid w:val="0"/>
      <w:spacing w:line="240" w:lineRule="auto"/>
      <w:rPr>
        <w:i/>
        <w:szCs w:val="16"/>
      </w:rPr>
    </w:pPr>
  </w:p>
  <w:p w:rsidR="0014616C" w:rsidRPr="0024694E" w:rsidRDefault="0024694E" w:rsidP="0024694E">
    <w:pPr>
      <w:pStyle w:val="MDPIfooterfirstpage"/>
      <w:tabs>
        <w:tab w:val="clear" w:pos="8845"/>
        <w:tab w:val="right" w:pos="10466"/>
      </w:tabs>
      <w:spacing w:line="240" w:lineRule="auto"/>
      <w:rPr>
        <w:sz w:val="20"/>
        <w:lang w:val="fr-CH"/>
      </w:rPr>
    </w:pPr>
    <w:r w:rsidRPr="00606407">
      <w:rPr>
        <w:b/>
        <w:i/>
        <w:szCs w:val="16"/>
      </w:rPr>
      <w:t>Corresponding Author:</w:t>
    </w:r>
    <w:r w:rsidRPr="00CE5445">
      <w:rPr>
        <w:b/>
        <w:i/>
      </w:rPr>
      <w:t xml:space="preserve"> </w:t>
    </w:r>
    <w:hyperlink r:id="rId1" w:history="1">
      <w:r w:rsidR="00D87E6D" w:rsidRPr="003156D4">
        <w:rPr>
          <w:rStyle w:val="Hyperlink"/>
          <w:b/>
          <w:i/>
        </w:rPr>
        <w:t>sahugayatri05@gmail.com</w:t>
      </w:r>
    </w:hyperlink>
    <w:r w:rsidR="00D87E6D">
      <w:rPr>
        <w:b/>
        <w:i/>
      </w:rPr>
      <w:t xml:space="preserve"> </w:t>
    </w:r>
    <w:r w:rsidR="00D87E6D">
      <w:rPr>
        <w:b/>
        <w:sz w:val="20"/>
        <w:szCs w:val="16"/>
      </w:rPr>
      <w:tab/>
      <w:t>RJMP, Vol-05, Issue-01</w:t>
    </w:r>
    <w:proofErr w:type="gramStart"/>
    <w:r w:rsidR="00D87E6D">
      <w:rPr>
        <w:b/>
        <w:sz w:val="20"/>
        <w:szCs w:val="16"/>
      </w:rPr>
      <w:t>,31</w:t>
    </w:r>
    <w:proofErr w:type="gramEnd"/>
    <w:r w:rsidR="00D87E6D">
      <w:rPr>
        <w:b/>
        <w:sz w:val="20"/>
        <w:szCs w:val="16"/>
      </w:rPr>
      <w:t>-39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37D6" w:rsidRDefault="00E437D6" w:rsidP="0014616C">
      <w:r>
        <w:separator/>
      </w:r>
    </w:p>
  </w:footnote>
  <w:footnote w:type="continuationSeparator" w:id="0">
    <w:p w:rsidR="00E437D6" w:rsidRDefault="00E437D6" w:rsidP="001461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7" w:type="dxa"/>
      <w:tblCellMar>
        <w:left w:w="0" w:type="dxa"/>
        <w:right w:w="0" w:type="dxa"/>
      </w:tblCellMar>
      <w:tblLook w:val="04A0" w:firstRow="1" w:lastRow="0" w:firstColumn="1" w:lastColumn="0" w:noHBand="0" w:noVBand="1"/>
    </w:tblPr>
    <w:tblGrid>
      <w:gridCol w:w="3679"/>
      <w:gridCol w:w="4535"/>
      <w:gridCol w:w="2273"/>
    </w:tblGrid>
    <w:tr w:rsidR="00173CFD" w:rsidRPr="00770821" w:rsidTr="00391C89">
      <w:trPr>
        <w:trHeight w:val="686"/>
      </w:trPr>
      <w:tc>
        <w:tcPr>
          <w:tcW w:w="3679" w:type="dxa"/>
          <w:shd w:val="clear" w:color="auto" w:fill="auto"/>
          <w:vAlign w:val="center"/>
        </w:tcPr>
        <w:p w:rsidR="00173CFD" w:rsidRPr="00904B95" w:rsidRDefault="00D87E6D" w:rsidP="00391C89">
          <w:pPr>
            <w:pStyle w:val="Header"/>
            <w:rPr>
              <w:rFonts w:eastAsia="等线"/>
              <w:b/>
              <w:bCs/>
            </w:rPr>
          </w:pPr>
          <w:r>
            <w:rPr>
              <w:rFonts w:eastAsia="等线"/>
              <w:b/>
              <w:bCs/>
              <w:noProof/>
            </w:rPr>
            <mc:AlternateContent>
              <mc:Choice Requires="wps">
                <w:drawing>
                  <wp:anchor distT="0" distB="0" distL="114300" distR="114300" simplePos="0" relativeHeight="251657216" behindDoc="0" locked="0" layoutInCell="1" allowOverlap="1">
                    <wp:simplePos x="0" y="0"/>
                    <wp:positionH relativeFrom="column">
                      <wp:posOffset>-27305</wp:posOffset>
                    </wp:positionH>
                    <wp:positionV relativeFrom="paragraph">
                      <wp:posOffset>-374650</wp:posOffset>
                    </wp:positionV>
                    <wp:extent cx="5089525" cy="675640"/>
                    <wp:effectExtent l="1270" t="0" r="0" b="381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9525" cy="675640"/>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173CFD" w:rsidRPr="00DF0ACA" w:rsidRDefault="00173CFD" w:rsidP="00173CFD">
                                <w:pPr>
                                  <w:rPr>
                                    <w:rFonts w:ascii="Times New Roman" w:hAnsi="Times New Roman" w:cs="Times New Roman"/>
                                    <w:b/>
                                    <w:color w:val="002060"/>
                                    <w:sz w:val="28"/>
                                  </w:rPr>
                                </w:pPr>
                                <w:r w:rsidRPr="00DF0ACA">
                                  <w:rPr>
                                    <w:rFonts w:ascii="Times New Roman" w:hAnsi="Times New Roman" w:cs="Times New Roman"/>
                                    <w:b/>
                                    <w:color w:val="002060"/>
                                    <w:sz w:val="28"/>
                                  </w:rPr>
                                  <w:t>Research Journal of Medicine and Pharmacy</w:t>
                                </w:r>
                              </w:p>
                              <w:p w:rsidR="00173CFD" w:rsidRPr="00DF0ACA" w:rsidRDefault="00173CFD" w:rsidP="00173CFD">
                                <w:pPr>
                                  <w:rPr>
                                    <w:rFonts w:ascii="Times New Roman" w:hAnsi="Times New Roman" w:cs="Times New Roman"/>
                                    <w:b/>
                                    <w:i/>
                                    <w:color w:val="002060"/>
                                    <w:sz w:val="16"/>
                                  </w:rPr>
                                </w:pPr>
                                <w:r w:rsidRPr="00DF0ACA">
                                  <w:rPr>
                                    <w:rFonts w:ascii="Times New Roman" w:hAnsi="Times New Roman" w:cs="Times New Roman"/>
                                    <w:b/>
                                    <w:i/>
                                    <w:color w:val="002060"/>
                                    <w:sz w:val="16"/>
                                  </w:rPr>
                                  <w:t xml:space="preserve">(An Open access International peer reviewed journal)       </w:t>
                                </w:r>
                              </w:p>
                              <w:p w:rsidR="00173CFD" w:rsidRPr="00DF0ACA" w:rsidRDefault="00173CFD" w:rsidP="00173CFD">
                                <w:pPr>
                                  <w:rPr>
                                    <w:rFonts w:ascii="Times New Roman" w:hAnsi="Times New Roman" w:cs="Times New Roman"/>
                                    <w:b/>
                                    <w:color w:val="002060"/>
                                    <w:sz w:val="28"/>
                                  </w:rPr>
                                </w:pPr>
                                <w:r w:rsidRPr="00DF0ACA">
                                  <w:rPr>
                                    <w:rFonts w:ascii="Times New Roman" w:hAnsi="Times New Roman" w:cs="Times New Roman"/>
                                    <w:b/>
                                    <w:color w:val="002060"/>
                                    <w:sz w:val="28"/>
                                  </w:rPr>
                                  <w:t>ISSN: 2945-431X</w:t>
                                </w:r>
                              </w:p>
                              <w:p w:rsidR="00173CFD" w:rsidRPr="00DF0ACA" w:rsidRDefault="00173CFD" w:rsidP="00173CFD">
                                <w:pPr>
                                  <w:rPr>
                                    <w:color w:val="00206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2.15pt;margin-top:-29.5pt;width:400.75pt;height:53.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" stroked="f" strokeweight="2pt">
                    <v:path arrowok="t"/>
                    <v:textbox>
                      <w:txbxContent>
                        <w:p w:rsidR="00173CFD" w:rsidRPr="00DF0ACA" w:rsidRDefault="00173CFD" w:rsidP="00173CFD">
                          <w:pPr>
                            <w:rPr>
                              <w:rFonts w:ascii="Times New Roman" w:hAnsi="Times New Roman" w:cs="Times New Roman"/>
                              <w:b/>
                              <w:color w:val="002060"/>
                              <w:sz w:val="28"/>
                            </w:rPr>
                          </w:pPr>
                          <w:r w:rsidRPr="00DF0ACA">
                            <w:rPr>
                              <w:rFonts w:ascii="Times New Roman" w:hAnsi="Times New Roman" w:cs="Times New Roman"/>
                              <w:b/>
                              <w:color w:val="002060"/>
                              <w:sz w:val="28"/>
                            </w:rPr>
                            <w:t>Research Journal of Medicine and Pharmacy</w:t>
                          </w:r>
                        </w:p>
                        <w:p w:rsidR="00173CFD" w:rsidRPr="00DF0ACA" w:rsidRDefault="00173CFD" w:rsidP="00173CFD">
                          <w:pPr>
                            <w:rPr>
                              <w:rFonts w:ascii="Times New Roman" w:hAnsi="Times New Roman" w:cs="Times New Roman"/>
                              <w:b/>
                              <w:i/>
                              <w:color w:val="002060"/>
                              <w:sz w:val="16"/>
                            </w:rPr>
                          </w:pPr>
                          <w:r w:rsidRPr="00DF0ACA">
                            <w:rPr>
                              <w:rFonts w:ascii="Times New Roman" w:hAnsi="Times New Roman" w:cs="Times New Roman"/>
                              <w:b/>
                              <w:i/>
                              <w:color w:val="002060"/>
                              <w:sz w:val="16"/>
                            </w:rPr>
                            <w:t xml:space="preserve">(An Open access International peer reviewed journal)       </w:t>
                          </w:r>
                        </w:p>
                        <w:p w:rsidR="00173CFD" w:rsidRPr="00DF0ACA" w:rsidRDefault="00173CFD" w:rsidP="00173CFD">
                          <w:pPr>
                            <w:rPr>
                              <w:rFonts w:ascii="Times New Roman" w:hAnsi="Times New Roman" w:cs="Times New Roman"/>
                              <w:b/>
                              <w:color w:val="002060"/>
                              <w:sz w:val="28"/>
                            </w:rPr>
                          </w:pPr>
                          <w:r w:rsidRPr="00DF0ACA">
                            <w:rPr>
                              <w:rFonts w:ascii="Times New Roman" w:hAnsi="Times New Roman" w:cs="Times New Roman"/>
                              <w:b/>
                              <w:color w:val="002060"/>
                              <w:sz w:val="28"/>
                            </w:rPr>
                            <w:t>ISSN: 2945-431X</w:t>
                          </w:r>
                        </w:p>
                        <w:p w:rsidR="00173CFD" w:rsidRPr="00DF0ACA" w:rsidRDefault="00173CFD" w:rsidP="00173CFD">
                          <w:pPr>
                            <w:rPr>
                              <w:color w:val="002060"/>
                            </w:rPr>
                          </w:pPr>
                        </w:p>
                      </w:txbxContent>
                    </v:textbox>
                  </v:rect>
                </w:pict>
              </mc:Fallback>
            </mc:AlternateContent>
          </w:r>
        </w:p>
      </w:tc>
      <w:tc>
        <w:tcPr>
          <w:tcW w:w="4535" w:type="dxa"/>
          <w:shd w:val="clear" w:color="auto" w:fill="auto"/>
          <w:vAlign w:val="center"/>
        </w:tcPr>
        <w:p w:rsidR="00173CFD" w:rsidRPr="00904B95" w:rsidRDefault="00173CFD" w:rsidP="00391C89">
          <w:pPr>
            <w:pStyle w:val="Header"/>
            <w:rPr>
              <w:rFonts w:eastAsia="等线"/>
              <w:b/>
              <w:bCs/>
            </w:rPr>
          </w:pPr>
        </w:p>
      </w:tc>
      <w:tc>
        <w:tcPr>
          <w:tcW w:w="2273" w:type="dxa"/>
          <w:shd w:val="clear" w:color="auto" w:fill="auto"/>
          <w:vAlign w:val="center"/>
        </w:tcPr>
        <w:p w:rsidR="00173CFD" w:rsidRPr="00904B95" w:rsidRDefault="00173CFD" w:rsidP="00391C89">
          <w:pPr>
            <w:pStyle w:val="Header"/>
            <w:jc w:val="right"/>
            <w:rPr>
              <w:rFonts w:eastAsia="等线"/>
              <w:b/>
              <w:bCs/>
            </w:rPr>
          </w:pPr>
        </w:p>
      </w:tc>
    </w:tr>
  </w:tbl>
  <w:p w:rsidR="00173CFD" w:rsidRPr="003A2C19" w:rsidRDefault="00173CFD" w:rsidP="00173CFD">
    <w:pPr>
      <w:pBdr>
        <w:bottom w:val="single" w:sz="4" w:space="0" w:color="000000"/>
      </w:pBdr>
      <w:adjustRightInd w:val="0"/>
      <w:snapToGrid w:val="0"/>
      <w:spacing w:line="100" w:lineRule="exact"/>
    </w:pPr>
  </w:p>
  <w:p w:rsidR="00173CFD" w:rsidRPr="00870AE6" w:rsidRDefault="00173CFD" w:rsidP="00173C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3D1B58BA"/>
    <w:lvl w:ilvl="0" w:tplc="8C94A0DC">
      <w:start w:val="1"/>
      <w:numFmt w:val="decimal"/>
      <w:lvlText w:val="%1."/>
      <w:lvlJc w:val="left"/>
    </w:lvl>
    <w:lvl w:ilvl="1" w:tplc="8ECA61F6">
      <w:start w:val="1"/>
      <w:numFmt w:val="bullet"/>
      <w:lvlText w:val=""/>
      <w:lvlJc w:val="left"/>
    </w:lvl>
    <w:lvl w:ilvl="2" w:tplc="7AC2EBCC">
      <w:start w:val="1"/>
      <w:numFmt w:val="bullet"/>
      <w:lvlText w:val=""/>
      <w:lvlJc w:val="left"/>
    </w:lvl>
    <w:lvl w:ilvl="3" w:tplc="71DC9044">
      <w:start w:val="1"/>
      <w:numFmt w:val="bullet"/>
      <w:lvlText w:val=""/>
      <w:lvlJc w:val="left"/>
    </w:lvl>
    <w:lvl w:ilvl="4" w:tplc="2E805AAE">
      <w:start w:val="1"/>
      <w:numFmt w:val="bullet"/>
      <w:lvlText w:val=""/>
      <w:lvlJc w:val="left"/>
    </w:lvl>
    <w:lvl w:ilvl="5" w:tplc="4D8ECED6">
      <w:start w:val="1"/>
      <w:numFmt w:val="bullet"/>
      <w:lvlText w:val=""/>
      <w:lvlJc w:val="left"/>
    </w:lvl>
    <w:lvl w:ilvl="6" w:tplc="A06CD39A">
      <w:start w:val="1"/>
      <w:numFmt w:val="bullet"/>
      <w:lvlText w:val=""/>
      <w:lvlJc w:val="left"/>
    </w:lvl>
    <w:lvl w:ilvl="7" w:tplc="39468C5A">
      <w:start w:val="1"/>
      <w:numFmt w:val="bullet"/>
      <w:lvlText w:val=""/>
      <w:lvlJc w:val="left"/>
    </w:lvl>
    <w:lvl w:ilvl="8" w:tplc="E39688C8">
      <w:start w:val="1"/>
      <w:numFmt w:val="bullet"/>
      <w:lvlText w:val=""/>
      <w:lvlJc w:val="left"/>
    </w:lvl>
  </w:abstractNum>
  <w:abstractNum w:abstractNumId="1">
    <w:nsid w:val="00000002"/>
    <w:multiLevelType w:val="hybridMultilevel"/>
    <w:tmpl w:val="507ED7AA"/>
    <w:lvl w:ilvl="0" w:tplc="44C6C10E">
      <w:start w:val="9"/>
      <w:numFmt w:val="decimal"/>
      <w:lvlText w:val="%1."/>
      <w:lvlJc w:val="left"/>
    </w:lvl>
    <w:lvl w:ilvl="1" w:tplc="B1C41B2E">
      <w:start w:val="1"/>
      <w:numFmt w:val="bullet"/>
      <w:lvlText w:val=""/>
      <w:lvlJc w:val="left"/>
    </w:lvl>
    <w:lvl w:ilvl="2" w:tplc="3612DEF8">
      <w:start w:val="1"/>
      <w:numFmt w:val="bullet"/>
      <w:lvlText w:val=""/>
      <w:lvlJc w:val="left"/>
    </w:lvl>
    <w:lvl w:ilvl="3" w:tplc="6ABC0A9C">
      <w:start w:val="1"/>
      <w:numFmt w:val="bullet"/>
      <w:lvlText w:val=""/>
      <w:lvlJc w:val="left"/>
    </w:lvl>
    <w:lvl w:ilvl="4" w:tplc="75B8B53E">
      <w:start w:val="1"/>
      <w:numFmt w:val="bullet"/>
      <w:lvlText w:val=""/>
      <w:lvlJc w:val="left"/>
    </w:lvl>
    <w:lvl w:ilvl="5" w:tplc="A802E9F2">
      <w:start w:val="1"/>
      <w:numFmt w:val="bullet"/>
      <w:lvlText w:val=""/>
      <w:lvlJc w:val="left"/>
    </w:lvl>
    <w:lvl w:ilvl="6" w:tplc="9FDA0204">
      <w:start w:val="1"/>
      <w:numFmt w:val="bullet"/>
      <w:lvlText w:val=""/>
      <w:lvlJc w:val="left"/>
    </w:lvl>
    <w:lvl w:ilvl="7" w:tplc="9C063442">
      <w:start w:val="1"/>
      <w:numFmt w:val="bullet"/>
      <w:lvlText w:val=""/>
      <w:lvlJc w:val="left"/>
    </w:lvl>
    <w:lvl w:ilvl="8" w:tplc="3BE87F48">
      <w:start w:val="1"/>
      <w:numFmt w:val="bullet"/>
      <w:lvlText w:val=""/>
      <w:lvlJc w:val="left"/>
    </w:lvl>
  </w:abstractNum>
  <w:abstractNum w:abstractNumId="2">
    <w:nsid w:val="00000003"/>
    <w:multiLevelType w:val="hybridMultilevel"/>
    <w:tmpl w:val="2EB141F2"/>
    <w:lvl w:ilvl="0" w:tplc="844A7F8E">
      <w:start w:val="1"/>
      <w:numFmt w:val="decimal"/>
      <w:lvlText w:val="%1"/>
      <w:lvlJc w:val="left"/>
    </w:lvl>
    <w:lvl w:ilvl="1" w:tplc="CA7C6A9A">
      <w:start w:val="24"/>
      <w:numFmt w:val="decimal"/>
      <w:lvlText w:val="%2:"/>
      <w:lvlJc w:val="left"/>
    </w:lvl>
    <w:lvl w:ilvl="2" w:tplc="11821790">
      <w:start w:val="1"/>
      <w:numFmt w:val="bullet"/>
      <w:lvlText w:val=""/>
      <w:lvlJc w:val="left"/>
    </w:lvl>
    <w:lvl w:ilvl="3" w:tplc="72328746">
      <w:start w:val="1"/>
      <w:numFmt w:val="bullet"/>
      <w:lvlText w:val=""/>
      <w:lvlJc w:val="left"/>
    </w:lvl>
    <w:lvl w:ilvl="4" w:tplc="2B5CE65E">
      <w:start w:val="1"/>
      <w:numFmt w:val="bullet"/>
      <w:lvlText w:val=""/>
      <w:lvlJc w:val="left"/>
    </w:lvl>
    <w:lvl w:ilvl="5" w:tplc="6A9E9E0E">
      <w:start w:val="1"/>
      <w:numFmt w:val="bullet"/>
      <w:lvlText w:val=""/>
      <w:lvlJc w:val="left"/>
    </w:lvl>
    <w:lvl w:ilvl="6" w:tplc="226286C4">
      <w:start w:val="1"/>
      <w:numFmt w:val="bullet"/>
      <w:lvlText w:val=""/>
      <w:lvlJc w:val="left"/>
    </w:lvl>
    <w:lvl w:ilvl="7" w:tplc="756059E2">
      <w:start w:val="1"/>
      <w:numFmt w:val="bullet"/>
      <w:lvlText w:val=""/>
      <w:lvlJc w:val="left"/>
    </w:lvl>
    <w:lvl w:ilvl="8" w:tplc="ADF4F9D8">
      <w:start w:val="1"/>
      <w:numFmt w:val="bullet"/>
      <w:lvlText w:val=""/>
      <w:lvlJc w:val="left"/>
    </w:lvl>
  </w:abstractNum>
  <w:abstractNum w:abstractNumId="3">
    <w:nsid w:val="00000004"/>
    <w:multiLevelType w:val="hybridMultilevel"/>
    <w:tmpl w:val="41B71EFA"/>
    <w:lvl w:ilvl="0" w:tplc="526A1DFE">
      <w:start w:val="10"/>
      <w:numFmt w:val="decimal"/>
      <w:lvlText w:val="%1."/>
      <w:lvlJc w:val="left"/>
    </w:lvl>
    <w:lvl w:ilvl="1" w:tplc="13CE3802">
      <w:start w:val="62"/>
      <w:numFmt w:val="decimal"/>
      <w:lvlText w:val="%2:"/>
      <w:lvlJc w:val="left"/>
    </w:lvl>
    <w:lvl w:ilvl="2" w:tplc="1F600D4A">
      <w:start w:val="1"/>
      <w:numFmt w:val="bullet"/>
      <w:lvlText w:val=""/>
      <w:lvlJc w:val="left"/>
    </w:lvl>
    <w:lvl w:ilvl="3" w:tplc="525C0F82">
      <w:start w:val="1"/>
      <w:numFmt w:val="bullet"/>
      <w:lvlText w:val=""/>
      <w:lvlJc w:val="left"/>
    </w:lvl>
    <w:lvl w:ilvl="4" w:tplc="64406AE8">
      <w:start w:val="1"/>
      <w:numFmt w:val="bullet"/>
      <w:lvlText w:val=""/>
      <w:lvlJc w:val="left"/>
    </w:lvl>
    <w:lvl w:ilvl="5" w:tplc="B51C7CF4">
      <w:start w:val="1"/>
      <w:numFmt w:val="bullet"/>
      <w:lvlText w:val=""/>
      <w:lvlJc w:val="left"/>
    </w:lvl>
    <w:lvl w:ilvl="6" w:tplc="180CEDB2">
      <w:start w:val="1"/>
      <w:numFmt w:val="bullet"/>
      <w:lvlText w:val=""/>
      <w:lvlJc w:val="left"/>
    </w:lvl>
    <w:lvl w:ilvl="7" w:tplc="71322C32">
      <w:start w:val="1"/>
      <w:numFmt w:val="bullet"/>
      <w:lvlText w:val=""/>
      <w:lvlJc w:val="left"/>
    </w:lvl>
    <w:lvl w:ilvl="8" w:tplc="F50ECC44">
      <w:start w:val="1"/>
      <w:numFmt w:val="bullet"/>
      <w:lvlText w:val=""/>
      <w:lvlJc w:val="left"/>
    </w:lvl>
  </w:abstractNum>
  <w:abstractNum w:abstractNumId="4">
    <w:nsid w:val="00000005"/>
    <w:multiLevelType w:val="hybridMultilevel"/>
    <w:tmpl w:val="79E2A9E2"/>
    <w:lvl w:ilvl="0" w:tplc="9A40F70E">
      <w:start w:val="1"/>
      <w:numFmt w:val="decimal"/>
      <w:lvlText w:val="%1"/>
      <w:lvlJc w:val="left"/>
    </w:lvl>
    <w:lvl w:ilvl="1" w:tplc="704C8A78">
      <w:start w:val="34"/>
      <w:numFmt w:val="decimal"/>
      <w:lvlText w:val="%2:"/>
      <w:lvlJc w:val="left"/>
    </w:lvl>
    <w:lvl w:ilvl="2" w:tplc="BEE8476A">
      <w:start w:val="1"/>
      <w:numFmt w:val="bullet"/>
      <w:lvlText w:val=""/>
      <w:lvlJc w:val="left"/>
    </w:lvl>
    <w:lvl w:ilvl="3" w:tplc="FB18776A">
      <w:start w:val="1"/>
      <w:numFmt w:val="bullet"/>
      <w:lvlText w:val=""/>
      <w:lvlJc w:val="left"/>
    </w:lvl>
    <w:lvl w:ilvl="4" w:tplc="BFD24DD2">
      <w:start w:val="1"/>
      <w:numFmt w:val="bullet"/>
      <w:lvlText w:val=""/>
      <w:lvlJc w:val="left"/>
    </w:lvl>
    <w:lvl w:ilvl="5" w:tplc="F38267B2">
      <w:start w:val="1"/>
      <w:numFmt w:val="bullet"/>
      <w:lvlText w:val=""/>
      <w:lvlJc w:val="left"/>
    </w:lvl>
    <w:lvl w:ilvl="6" w:tplc="995832A4">
      <w:start w:val="1"/>
      <w:numFmt w:val="bullet"/>
      <w:lvlText w:val=""/>
      <w:lvlJc w:val="left"/>
    </w:lvl>
    <w:lvl w:ilvl="7" w:tplc="46D81E5E">
      <w:start w:val="1"/>
      <w:numFmt w:val="bullet"/>
      <w:lvlText w:val=""/>
      <w:lvlJc w:val="left"/>
    </w:lvl>
    <w:lvl w:ilvl="8" w:tplc="59F0CF48">
      <w:start w:val="1"/>
      <w:numFmt w:val="bullet"/>
      <w:lvlText w:val=""/>
      <w:lvlJc w:val="left"/>
    </w:lvl>
  </w:abstractNum>
  <w:abstractNum w:abstractNumId="5">
    <w:nsid w:val="00000006"/>
    <w:multiLevelType w:val="hybridMultilevel"/>
    <w:tmpl w:val="7545E146"/>
    <w:lvl w:ilvl="0" w:tplc="B8C2780E">
      <w:start w:val="17"/>
      <w:numFmt w:val="decimal"/>
      <w:lvlText w:val="%1."/>
      <w:lvlJc w:val="left"/>
    </w:lvl>
    <w:lvl w:ilvl="1" w:tplc="1348FC74">
      <w:start w:val="296"/>
      <w:numFmt w:val="decimal"/>
      <w:lvlText w:val="%2:"/>
      <w:lvlJc w:val="left"/>
    </w:lvl>
    <w:lvl w:ilvl="2" w:tplc="8D38203E">
      <w:start w:val="1"/>
      <w:numFmt w:val="bullet"/>
      <w:lvlText w:val=""/>
      <w:lvlJc w:val="left"/>
    </w:lvl>
    <w:lvl w:ilvl="3" w:tplc="2EEED0A2">
      <w:start w:val="1"/>
      <w:numFmt w:val="bullet"/>
      <w:lvlText w:val=""/>
      <w:lvlJc w:val="left"/>
    </w:lvl>
    <w:lvl w:ilvl="4" w:tplc="8A4E6602">
      <w:start w:val="1"/>
      <w:numFmt w:val="bullet"/>
      <w:lvlText w:val=""/>
      <w:lvlJc w:val="left"/>
    </w:lvl>
    <w:lvl w:ilvl="5" w:tplc="F3A24216">
      <w:start w:val="1"/>
      <w:numFmt w:val="bullet"/>
      <w:lvlText w:val=""/>
      <w:lvlJc w:val="left"/>
    </w:lvl>
    <w:lvl w:ilvl="6" w:tplc="DB086D9C">
      <w:start w:val="1"/>
      <w:numFmt w:val="bullet"/>
      <w:lvlText w:val=""/>
      <w:lvlJc w:val="left"/>
    </w:lvl>
    <w:lvl w:ilvl="7" w:tplc="9CE0C9DA">
      <w:start w:val="1"/>
      <w:numFmt w:val="bullet"/>
      <w:lvlText w:val=""/>
      <w:lvlJc w:val="left"/>
    </w:lvl>
    <w:lvl w:ilvl="8" w:tplc="64801BEA">
      <w:start w:val="1"/>
      <w:numFmt w:val="bullet"/>
      <w:lvlText w:val=""/>
      <w:lvlJc w:val="left"/>
    </w:lvl>
  </w:abstractNum>
  <w:abstractNum w:abstractNumId="6">
    <w:nsid w:val="00000007"/>
    <w:multiLevelType w:val="hybridMultilevel"/>
    <w:tmpl w:val="515F007C"/>
    <w:lvl w:ilvl="0" w:tplc="987C5466">
      <w:start w:val="1"/>
      <w:numFmt w:val="decimal"/>
      <w:lvlText w:val="%1"/>
      <w:lvlJc w:val="left"/>
    </w:lvl>
    <w:lvl w:ilvl="1" w:tplc="3E2C6BC8">
      <w:start w:val="356"/>
      <w:numFmt w:val="decimal"/>
      <w:lvlText w:val="%2:"/>
      <w:lvlJc w:val="left"/>
    </w:lvl>
    <w:lvl w:ilvl="2" w:tplc="7A023D12">
      <w:start w:val="1"/>
      <w:numFmt w:val="bullet"/>
      <w:lvlText w:val=""/>
      <w:lvlJc w:val="left"/>
    </w:lvl>
    <w:lvl w:ilvl="3" w:tplc="68142A78">
      <w:start w:val="1"/>
      <w:numFmt w:val="bullet"/>
      <w:lvlText w:val=""/>
      <w:lvlJc w:val="left"/>
    </w:lvl>
    <w:lvl w:ilvl="4" w:tplc="81F87668">
      <w:start w:val="1"/>
      <w:numFmt w:val="bullet"/>
      <w:lvlText w:val=""/>
      <w:lvlJc w:val="left"/>
    </w:lvl>
    <w:lvl w:ilvl="5" w:tplc="DE3AF478">
      <w:start w:val="1"/>
      <w:numFmt w:val="bullet"/>
      <w:lvlText w:val=""/>
      <w:lvlJc w:val="left"/>
    </w:lvl>
    <w:lvl w:ilvl="6" w:tplc="52028C98">
      <w:start w:val="1"/>
      <w:numFmt w:val="bullet"/>
      <w:lvlText w:val=""/>
      <w:lvlJc w:val="left"/>
    </w:lvl>
    <w:lvl w:ilvl="7" w:tplc="440CD43C">
      <w:start w:val="1"/>
      <w:numFmt w:val="bullet"/>
      <w:lvlText w:val=""/>
      <w:lvlJc w:val="left"/>
    </w:lvl>
    <w:lvl w:ilvl="8" w:tplc="AAAAAC62">
      <w:start w:val="1"/>
      <w:numFmt w:val="bullet"/>
      <w:lvlText w:val=""/>
      <w:lvlJc w:val="left"/>
    </w:lvl>
  </w:abstractNum>
  <w:abstractNum w:abstractNumId="7">
    <w:nsid w:val="00000008"/>
    <w:multiLevelType w:val="hybridMultilevel"/>
    <w:tmpl w:val="5BD062C2"/>
    <w:lvl w:ilvl="0" w:tplc="295294B4">
      <w:start w:val="19"/>
      <w:numFmt w:val="decimal"/>
      <w:lvlText w:val="%1."/>
      <w:lvlJc w:val="left"/>
    </w:lvl>
    <w:lvl w:ilvl="1" w:tplc="536A6518">
      <w:start w:val="73"/>
      <w:numFmt w:val="decimal"/>
      <w:lvlText w:val="%2:"/>
      <w:lvlJc w:val="left"/>
    </w:lvl>
    <w:lvl w:ilvl="2" w:tplc="DFA419EA">
      <w:start w:val="1"/>
      <w:numFmt w:val="bullet"/>
      <w:lvlText w:val=""/>
      <w:lvlJc w:val="left"/>
    </w:lvl>
    <w:lvl w:ilvl="3" w:tplc="85C0A21C">
      <w:start w:val="1"/>
      <w:numFmt w:val="bullet"/>
      <w:lvlText w:val=""/>
      <w:lvlJc w:val="left"/>
    </w:lvl>
    <w:lvl w:ilvl="4" w:tplc="868AC544">
      <w:start w:val="1"/>
      <w:numFmt w:val="bullet"/>
      <w:lvlText w:val=""/>
      <w:lvlJc w:val="left"/>
    </w:lvl>
    <w:lvl w:ilvl="5" w:tplc="553AE986">
      <w:start w:val="1"/>
      <w:numFmt w:val="bullet"/>
      <w:lvlText w:val=""/>
      <w:lvlJc w:val="left"/>
    </w:lvl>
    <w:lvl w:ilvl="6" w:tplc="6F2A3BCA">
      <w:start w:val="1"/>
      <w:numFmt w:val="bullet"/>
      <w:lvlText w:val=""/>
      <w:lvlJc w:val="left"/>
    </w:lvl>
    <w:lvl w:ilvl="7" w:tplc="320A3060">
      <w:start w:val="1"/>
      <w:numFmt w:val="bullet"/>
      <w:lvlText w:val=""/>
      <w:lvlJc w:val="left"/>
    </w:lvl>
    <w:lvl w:ilvl="8" w:tplc="31D8726E">
      <w:start w:val="1"/>
      <w:numFmt w:val="bullet"/>
      <w:lvlText w:val=""/>
      <w:lvlJc w:val="left"/>
    </w:lvl>
  </w:abstractNum>
  <w:abstractNum w:abstractNumId="8">
    <w:nsid w:val="00000009"/>
    <w:multiLevelType w:val="hybridMultilevel"/>
    <w:tmpl w:val="12200854"/>
    <w:lvl w:ilvl="0" w:tplc="A614D586">
      <w:start w:val="1"/>
      <w:numFmt w:val="decimal"/>
      <w:lvlText w:val="%1"/>
      <w:lvlJc w:val="left"/>
    </w:lvl>
    <w:lvl w:ilvl="1" w:tplc="2B18A226">
      <w:start w:val="44"/>
      <w:numFmt w:val="decimal"/>
      <w:lvlText w:val="%2:"/>
      <w:lvlJc w:val="left"/>
    </w:lvl>
    <w:lvl w:ilvl="2" w:tplc="FABE1066">
      <w:start w:val="1"/>
      <w:numFmt w:val="bullet"/>
      <w:lvlText w:val=""/>
      <w:lvlJc w:val="left"/>
    </w:lvl>
    <w:lvl w:ilvl="3" w:tplc="80EED0F8">
      <w:start w:val="1"/>
      <w:numFmt w:val="bullet"/>
      <w:lvlText w:val=""/>
      <w:lvlJc w:val="left"/>
    </w:lvl>
    <w:lvl w:ilvl="4" w:tplc="5178E5F4">
      <w:start w:val="1"/>
      <w:numFmt w:val="bullet"/>
      <w:lvlText w:val=""/>
      <w:lvlJc w:val="left"/>
    </w:lvl>
    <w:lvl w:ilvl="5" w:tplc="88E435D0">
      <w:start w:val="1"/>
      <w:numFmt w:val="bullet"/>
      <w:lvlText w:val=""/>
      <w:lvlJc w:val="left"/>
    </w:lvl>
    <w:lvl w:ilvl="6" w:tplc="E774EC3C">
      <w:start w:val="1"/>
      <w:numFmt w:val="bullet"/>
      <w:lvlText w:val=""/>
      <w:lvlJc w:val="left"/>
    </w:lvl>
    <w:lvl w:ilvl="7" w:tplc="3BA212F4">
      <w:start w:val="1"/>
      <w:numFmt w:val="bullet"/>
      <w:lvlText w:val=""/>
      <w:lvlJc w:val="left"/>
    </w:lvl>
    <w:lvl w:ilvl="8" w:tplc="85745CF6">
      <w:start w:val="1"/>
      <w:numFmt w:val="bullet"/>
      <w:lvlText w:val=""/>
      <w:lvlJc w:val="left"/>
    </w:lvl>
  </w:abstractNum>
  <w:abstractNum w:abstractNumId="9">
    <w:nsid w:val="0000000A"/>
    <w:multiLevelType w:val="hybridMultilevel"/>
    <w:tmpl w:val="4DB127F8"/>
    <w:lvl w:ilvl="0" w:tplc="08F02D3A">
      <w:start w:val="22"/>
      <w:numFmt w:val="decimal"/>
      <w:lvlText w:val="%1."/>
      <w:lvlJc w:val="left"/>
    </w:lvl>
    <w:lvl w:ilvl="1" w:tplc="777A2648">
      <w:start w:val="55"/>
      <w:numFmt w:val="decimal"/>
      <w:lvlText w:val="%2:"/>
      <w:lvlJc w:val="left"/>
    </w:lvl>
    <w:lvl w:ilvl="2" w:tplc="18885CCC">
      <w:start w:val="1"/>
      <w:numFmt w:val="bullet"/>
      <w:lvlText w:val=""/>
      <w:lvlJc w:val="left"/>
    </w:lvl>
    <w:lvl w:ilvl="3" w:tplc="8C8AF686">
      <w:start w:val="1"/>
      <w:numFmt w:val="bullet"/>
      <w:lvlText w:val=""/>
      <w:lvlJc w:val="left"/>
    </w:lvl>
    <w:lvl w:ilvl="4" w:tplc="3B92DC00">
      <w:start w:val="1"/>
      <w:numFmt w:val="bullet"/>
      <w:lvlText w:val=""/>
      <w:lvlJc w:val="left"/>
    </w:lvl>
    <w:lvl w:ilvl="5" w:tplc="8828F334">
      <w:start w:val="1"/>
      <w:numFmt w:val="bullet"/>
      <w:lvlText w:val=""/>
      <w:lvlJc w:val="left"/>
    </w:lvl>
    <w:lvl w:ilvl="6" w:tplc="9D6A7CAC">
      <w:start w:val="1"/>
      <w:numFmt w:val="bullet"/>
      <w:lvlText w:val=""/>
      <w:lvlJc w:val="left"/>
    </w:lvl>
    <w:lvl w:ilvl="7" w:tplc="747C3AA6">
      <w:start w:val="1"/>
      <w:numFmt w:val="bullet"/>
      <w:lvlText w:val=""/>
      <w:lvlJc w:val="left"/>
    </w:lvl>
    <w:lvl w:ilvl="8" w:tplc="672A33E2">
      <w:start w:val="1"/>
      <w:numFmt w:val="bullet"/>
      <w:lvlText w:val=""/>
      <w:lvlJc w:val="left"/>
    </w:lvl>
  </w:abstractNum>
  <w:abstractNum w:abstractNumId="10">
    <w:nsid w:val="115B0F70"/>
    <w:multiLevelType w:val="hybridMultilevel"/>
    <w:tmpl w:val="C7F47276"/>
    <w:lvl w:ilvl="0" w:tplc="423A21A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nsid w:val="11726817"/>
    <w:multiLevelType w:val="hybridMultilevel"/>
    <w:tmpl w:val="EB687D8A"/>
    <w:lvl w:ilvl="0" w:tplc="60564CAA">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204859"/>
    <w:multiLevelType w:val="hybridMultilevel"/>
    <w:tmpl w:val="BCDE34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CDD4ACD"/>
    <w:multiLevelType w:val="hybridMultilevel"/>
    <w:tmpl w:val="E0FA5E8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8BA4559"/>
    <w:multiLevelType w:val="hybridMultilevel"/>
    <w:tmpl w:val="31B66BE8"/>
    <w:lvl w:ilvl="0" w:tplc="87CAC5F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4"/>
  </w:num>
  <w:num w:numId="12">
    <w:abstractNumId w:val="13"/>
  </w:num>
  <w:num w:numId="13">
    <w:abstractNumId w:val="11"/>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16C"/>
    <w:rsid w:val="000F79D7"/>
    <w:rsid w:val="0014616C"/>
    <w:rsid w:val="00173CFD"/>
    <w:rsid w:val="00233835"/>
    <w:rsid w:val="0024694E"/>
    <w:rsid w:val="00326329"/>
    <w:rsid w:val="00391C89"/>
    <w:rsid w:val="006E59E4"/>
    <w:rsid w:val="009C21DD"/>
    <w:rsid w:val="00CE1DAE"/>
    <w:rsid w:val="00CF328C"/>
    <w:rsid w:val="00D87E6D"/>
    <w:rsid w:val="00E437D6"/>
    <w:rsid w:val="00F05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616C"/>
    <w:pPr>
      <w:tabs>
        <w:tab w:val="center" w:pos="4680"/>
        <w:tab w:val="right" w:pos="9360"/>
      </w:tabs>
    </w:pPr>
  </w:style>
  <w:style w:type="character" w:customStyle="1" w:styleId="HeaderChar">
    <w:name w:val="Header Char"/>
    <w:basedOn w:val="DefaultParagraphFont"/>
    <w:link w:val="Header"/>
    <w:uiPriority w:val="99"/>
    <w:rsid w:val="0014616C"/>
  </w:style>
  <w:style w:type="paragraph" w:styleId="Footer">
    <w:name w:val="footer"/>
    <w:basedOn w:val="Normal"/>
    <w:link w:val="FooterChar"/>
    <w:uiPriority w:val="99"/>
    <w:unhideWhenUsed/>
    <w:rsid w:val="0014616C"/>
    <w:pPr>
      <w:tabs>
        <w:tab w:val="center" w:pos="4680"/>
        <w:tab w:val="right" w:pos="9360"/>
      </w:tabs>
    </w:pPr>
  </w:style>
  <w:style w:type="character" w:customStyle="1" w:styleId="FooterChar">
    <w:name w:val="Footer Char"/>
    <w:basedOn w:val="DefaultParagraphFont"/>
    <w:link w:val="Footer"/>
    <w:uiPriority w:val="99"/>
    <w:rsid w:val="0014616C"/>
  </w:style>
  <w:style w:type="paragraph" w:customStyle="1" w:styleId="MDPIfooterfirstpage">
    <w:name w:val="MDPI_footer_firstpage"/>
    <w:qFormat/>
    <w:rsid w:val="00173CFD"/>
    <w:pPr>
      <w:tabs>
        <w:tab w:val="right" w:pos="8845"/>
      </w:tabs>
      <w:spacing w:line="160" w:lineRule="exact"/>
    </w:pPr>
    <w:rPr>
      <w:rFonts w:ascii="Palatino Linotype" w:eastAsia="Times New Roman" w:hAnsi="Palatino Linotype" w:cs="Times New Roman"/>
      <w:color w:val="000000"/>
      <w:sz w:val="16"/>
      <w:lang w:eastAsia="de-DE"/>
    </w:rPr>
  </w:style>
  <w:style w:type="paragraph" w:customStyle="1" w:styleId="MDPI14history">
    <w:name w:val="MDPI_1.4_history"/>
    <w:basedOn w:val="Normal"/>
    <w:next w:val="Normal"/>
    <w:qFormat/>
    <w:rsid w:val="00173CFD"/>
    <w:pPr>
      <w:adjustRightInd w:val="0"/>
      <w:snapToGrid w:val="0"/>
      <w:spacing w:line="240" w:lineRule="atLeast"/>
      <w:ind w:right="113"/>
    </w:pPr>
    <w:rPr>
      <w:rFonts w:ascii="Palatino Linotype" w:eastAsia="Times New Roman" w:hAnsi="Palatino Linotype" w:cs="Times New Roman"/>
      <w:color w:val="000000"/>
      <w:sz w:val="14"/>
      <w:lang w:eastAsia="de-DE" w:bidi="en-US"/>
    </w:rPr>
  </w:style>
  <w:style w:type="paragraph" w:customStyle="1" w:styleId="MDPI72Copyright">
    <w:name w:val="MDPI_7.2_Copyright"/>
    <w:qFormat/>
    <w:rsid w:val="00173CFD"/>
    <w:pPr>
      <w:adjustRightInd w:val="0"/>
      <w:snapToGrid w:val="0"/>
      <w:spacing w:before="60" w:line="240" w:lineRule="atLeast"/>
      <w:ind w:right="113"/>
      <w:jc w:val="both"/>
    </w:pPr>
    <w:rPr>
      <w:rFonts w:ascii="Palatino Linotype" w:eastAsia="Times New Roman" w:hAnsi="Palatino Linotype" w:cs="Times New Roman"/>
      <w:noProof/>
      <w:snapToGrid w:val="0"/>
      <w:color w:val="000000"/>
      <w:sz w:val="14"/>
      <w:lang w:val="en-GB" w:eastAsia="en-GB"/>
    </w:rPr>
  </w:style>
  <w:style w:type="paragraph" w:styleId="BodyText">
    <w:name w:val="Body Text"/>
    <w:basedOn w:val="Normal"/>
    <w:link w:val="BodyTextChar"/>
    <w:uiPriority w:val="1"/>
    <w:qFormat/>
    <w:rsid w:val="00173CFD"/>
    <w:pPr>
      <w:widowControl w:val="0"/>
      <w:autoSpaceDE w:val="0"/>
      <w:autoSpaceDN w:val="0"/>
      <w:ind w:left="131"/>
    </w:pPr>
    <w:rPr>
      <w:rFonts w:ascii="Georgia" w:eastAsia="Georgia" w:hAnsi="Georgia" w:cs="Georgia"/>
      <w:sz w:val="16"/>
      <w:szCs w:val="16"/>
    </w:rPr>
  </w:style>
  <w:style w:type="character" w:customStyle="1" w:styleId="BodyTextChar">
    <w:name w:val="Body Text Char"/>
    <w:basedOn w:val="DefaultParagraphFont"/>
    <w:link w:val="BodyText"/>
    <w:uiPriority w:val="1"/>
    <w:rsid w:val="00173CFD"/>
    <w:rPr>
      <w:rFonts w:ascii="Georgia" w:eastAsia="Georgia" w:hAnsi="Georgia" w:cs="Georgia"/>
      <w:sz w:val="16"/>
      <w:szCs w:val="16"/>
    </w:rPr>
  </w:style>
  <w:style w:type="paragraph" w:styleId="ListParagraph">
    <w:name w:val="List Paragraph"/>
    <w:basedOn w:val="Normal"/>
    <w:uiPriority w:val="34"/>
    <w:qFormat/>
    <w:rsid w:val="00173CFD"/>
    <w:pPr>
      <w:widowControl w:val="0"/>
      <w:autoSpaceDE w:val="0"/>
      <w:autoSpaceDN w:val="0"/>
      <w:ind w:left="131"/>
    </w:pPr>
    <w:rPr>
      <w:rFonts w:ascii="Times New Roman" w:eastAsia="Times New Roman" w:hAnsi="Times New Roman" w:cs="Times New Roman"/>
      <w:sz w:val="22"/>
      <w:szCs w:val="22"/>
    </w:rPr>
  </w:style>
  <w:style w:type="character" w:styleId="Hyperlink">
    <w:name w:val="Hyperlink"/>
    <w:basedOn w:val="DefaultParagraphFont"/>
    <w:uiPriority w:val="99"/>
    <w:unhideWhenUsed/>
    <w:rsid w:val="00173CFD"/>
    <w:rPr>
      <w:color w:val="0000FF"/>
      <w:u w:val="single"/>
    </w:rPr>
  </w:style>
  <w:style w:type="paragraph" w:styleId="BalloonText">
    <w:name w:val="Balloon Text"/>
    <w:basedOn w:val="Normal"/>
    <w:link w:val="BalloonTextChar"/>
    <w:uiPriority w:val="99"/>
    <w:semiHidden/>
    <w:unhideWhenUsed/>
    <w:rsid w:val="000F79D7"/>
    <w:rPr>
      <w:rFonts w:ascii="Tahoma" w:hAnsi="Tahoma" w:cs="Tahoma"/>
      <w:sz w:val="16"/>
      <w:szCs w:val="16"/>
    </w:rPr>
  </w:style>
  <w:style w:type="character" w:customStyle="1" w:styleId="BalloonTextChar">
    <w:name w:val="Balloon Text Char"/>
    <w:basedOn w:val="DefaultParagraphFont"/>
    <w:link w:val="BalloonText"/>
    <w:uiPriority w:val="99"/>
    <w:semiHidden/>
    <w:rsid w:val="000F79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616C"/>
    <w:pPr>
      <w:tabs>
        <w:tab w:val="center" w:pos="4680"/>
        <w:tab w:val="right" w:pos="9360"/>
      </w:tabs>
    </w:pPr>
  </w:style>
  <w:style w:type="character" w:customStyle="1" w:styleId="HeaderChar">
    <w:name w:val="Header Char"/>
    <w:basedOn w:val="DefaultParagraphFont"/>
    <w:link w:val="Header"/>
    <w:uiPriority w:val="99"/>
    <w:rsid w:val="0014616C"/>
  </w:style>
  <w:style w:type="paragraph" w:styleId="Footer">
    <w:name w:val="footer"/>
    <w:basedOn w:val="Normal"/>
    <w:link w:val="FooterChar"/>
    <w:uiPriority w:val="99"/>
    <w:unhideWhenUsed/>
    <w:rsid w:val="0014616C"/>
    <w:pPr>
      <w:tabs>
        <w:tab w:val="center" w:pos="4680"/>
        <w:tab w:val="right" w:pos="9360"/>
      </w:tabs>
    </w:pPr>
  </w:style>
  <w:style w:type="character" w:customStyle="1" w:styleId="FooterChar">
    <w:name w:val="Footer Char"/>
    <w:basedOn w:val="DefaultParagraphFont"/>
    <w:link w:val="Footer"/>
    <w:uiPriority w:val="99"/>
    <w:rsid w:val="0014616C"/>
  </w:style>
  <w:style w:type="paragraph" w:customStyle="1" w:styleId="MDPIfooterfirstpage">
    <w:name w:val="MDPI_footer_firstpage"/>
    <w:qFormat/>
    <w:rsid w:val="00173CFD"/>
    <w:pPr>
      <w:tabs>
        <w:tab w:val="right" w:pos="8845"/>
      </w:tabs>
      <w:spacing w:line="160" w:lineRule="exact"/>
    </w:pPr>
    <w:rPr>
      <w:rFonts w:ascii="Palatino Linotype" w:eastAsia="Times New Roman" w:hAnsi="Palatino Linotype" w:cs="Times New Roman"/>
      <w:color w:val="000000"/>
      <w:sz w:val="16"/>
      <w:lang w:eastAsia="de-DE"/>
    </w:rPr>
  </w:style>
  <w:style w:type="paragraph" w:customStyle="1" w:styleId="MDPI14history">
    <w:name w:val="MDPI_1.4_history"/>
    <w:basedOn w:val="Normal"/>
    <w:next w:val="Normal"/>
    <w:qFormat/>
    <w:rsid w:val="00173CFD"/>
    <w:pPr>
      <w:adjustRightInd w:val="0"/>
      <w:snapToGrid w:val="0"/>
      <w:spacing w:line="240" w:lineRule="atLeast"/>
      <w:ind w:right="113"/>
    </w:pPr>
    <w:rPr>
      <w:rFonts w:ascii="Palatino Linotype" w:eastAsia="Times New Roman" w:hAnsi="Palatino Linotype" w:cs="Times New Roman"/>
      <w:color w:val="000000"/>
      <w:sz w:val="14"/>
      <w:lang w:eastAsia="de-DE" w:bidi="en-US"/>
    </w:rPr>
  </w:style>
  <w:style w:type="paragraph" w:customStyle="1" w:styleId="MDPI72Copyright">
    <w:name w:val="MDPI_7.2_Copyright"/>
    <w:qFormat/>
    <w:rsid w:val="00173CFD"/>
    <w:pPr>
      <w:adjustRightInd w:val="0"/>
      <w:snapToGrid w:val="0"/>
      <w:spacing w:before="60" w:line="240" w:lineRule="atLeast"/>
      <w:ind w:right="113"/>
      <w:jc w:val="both"/>
    </w:pPr>
    <w:rPr>
      <w:rFonts w:ascii="Palatino Linotype" w:eastAsia="Times New Roman" w:hAnsi="Palatino Linotype" w:cs="Times New Roman"/>
      <w:noProof/>
      <w:snapToGrid w:val="0"/>
      <w:color w:val="000000"/>
      <w:sz w:val="14"/>
      <w:lang w:val="en-GB" w:eastAsia="en-GB"/>
    </w:rPr>
  </w:style>
  <w:style w:type="paragraph" w:styleId="BodyText">
    <w:name w:val="Body Text"/>
    <w:basedOn w:val="Normal"/>
    <w:link w:val="BodyTextChar"/>
    <w:uiPriority w:val="1"/>
    <w:qFormat/>
    <w:rsid w:val="00173CFD"/>
    <w:pPr>
      <w:widowControl w:val="0"/>
      <w:autoSpaceDE w:val="0"/>
      <w:autoSpaceDN w:val="0"/>
      <w:ind w:left="131"/>
    </w:pPr>
    <w:rPr>
      <w:rFonts w:ascii="Georgia" w:eastAsia="Georgia" w:hAnsi="Georgia" w:cs="Georgia"/>
      <w:sz w:val="16"/>
      <w:szCs w:val="16"/>
    </w:rPr>
  </w:style>
  <w:style w:type="character" w:customStyle="1" w:styleId="BodyTextChar">
    <w:name w:val="Body Text Char"/>
    <w:basedOn w:val="DefaultParagraphFont"/>
    <w:link w:val="BodyText"/>
    <w:uiPriority w:val="1"/>
    <w:rsid w:val="00173CFD"/>
    <w:rPr>
      <w:rFonts w:ascii="Georgia" w:eastAsia="Georgia" w:hAnsi="Georgia" w:cs="Georgia"/>
      <w:sz w:val="16"/>
      <w:szCs w:val="16"/>
    </w:rPr>
  </w:style>
  <w:style w:type="paragraph" w:styleId="ListParagraph">
    <w:name w:val="List Paragraph"/>
    <w:basedOn w:val="Normal"/>
    <w:uiPriority w:val="34"/>
    <w:qFormat/>
    <w:rsid w:val="00173CFD"/>
    <w:pPr>
      <w:widowControl w:val="0"/>
      <w:autoSpaceDE w:val="0"/>
      <w:autoSpaceDN w:val="0"/>
      <w:ind w:left="131"/>
    </w:pPr>
    <w:rPr>
      <w:rFonts w:ascii="Times New Roman" w:eastAsia="Times New Roman" w:hAnsi="Times New Roman" w:cs="Times New Roman"/>
      <w:sz w:val="22"/>
      <w:szCs w:val="22"/>
    </w:rPr>
  </w:style>
  <w:style w:type="character" w:styleId="Hyperlink">
    <w:name w:val="Hyperlink"/>
    <w:basedOn w:val="DefaultParagraphFont"/>
    <w:uiPriority w:val="99"/>
    <w:unhideWhenUsed/>
    <w:rsid w:val="00173CFD"/>
    <w:rPr>
      <w:color w:val="0000FF"/>
      <w:u w:val="single"/>
    </w:rPr>
  </w:style>
  <w:style w:type="paragraph" w:styleId="BalloonText">
    <w:name w:val="Balloon Text"/>
    <w:basedOn w:val="Normal"/>
    <w:link w:val="BalloonTextChar"/>
    <w:uiPriority w:val="99"/>
    <w:semiHidden/>
    <w:unhideWhenUsed/>
    <w:rsid w:val="000F79D7"/>
    <w:rPr>
      <w:rFonts w:ascii="Tahoma" w:hAnsi="Tahoma" w:cs="Tahoma"/>
      <w:sz w:val="16"/>
      <w:szCs w:val="16"/>
    </w:rPr>
  </w:style>
  <w:style w:type="character" w:customStyle="1" w:styleId="BalloonTextChar">
    <w:name w:val="Balloon Text Char"/>
    <w:basedOn w:val="DefaultParagraphFont"/>
    <w:link w:val="BalloonText"/>
    <w:uiPriority w:val="99"/>
    <w:semiHidden/>
    <w:rsid w:val="000F79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echmedpublishers.com/index.php/rjmp/issue/view/2"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sahugayatri0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38D86-61AE-4492-B615-1ED75965E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2942</Words>
  <Characters>16772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19675</CharactersWithSpaces>
  <SharedDoc>false</SharedDoc>
  <HLinks>
    <vt:vector size="78" baseType="variant">
      <vt:variant>
        <vt:i4>7667829</vt:i4>
      </vt:variant>
      <vt:variant>
        <vt:i4>36</vt:i4>
      </vt:variant>
      <vt:variant>
        <vt:i4>0</vt:i4>
      </vt:variant>
      <vt:variant>
        <vt:i4>5</vt:i4>
      </vt:variant>
      <vt:variant>
        <vt:lpwstr>https://www.embarpublishers.com/journals/14</vt:lpwstr>
      </vt:variant>
      <vt:variant>
        <vt:lpwstr/>
      </vt:variant>
      <vt:variant>
        <vt:i4>7667829</vt:i4>
      </vt:variant>
      <vt:variant>
        <vt:i4>33</vt:i4>
      </vt:variant>
      <vt:variant>
        <vt:i4>0</vt:i4>
      </vt:variant>
      <vt:variant>
        <vt:i4>5</vt:i4>
      </vt:variant>
      <vt:variant>
        <vt:lpwstr>https://www.embarpublishers.com/journals/13</vt:lpwstr>
      </vt:variant>
      <vt:variant>
        <vt:lpwstr/>
      </vt:variant>
      <vt:variant>
        <vt:i4>7667829</vt:i4>
      </vt:variant>
      <vt:variant>
        <vt:i4>30</vt:i4>
      </vt:variant>
      <vt:variant>
        <vt:i4>0</vt:i4>
      </vt:variant>
      <vt:variant>
        <vt:i4>5</vt:i4>
      </vt:variant>
      <vt:variant>
        <vt:lpwstr>https://www.embarpublishers.com/journals/12</vt:lpwstr>
      </vt:variant>
      <vt:variant>
        <vt:lpwstr/>
      </vt:variant>
      <vt:variant>
        <vt:i4>7667829</vt:i4>
      </vt:variant>
      <vt:variant>
        <vt:i4>27</vt:i4>
      </vt:variant>
      <vt:variant>
        <vt:i4>0</vt:i4>
      </vt:variant>
      <vt:variant>
        <vt:i4>5</vt:i4>
      </vt:variant>
      <vt:variant>
        <vt:lpwstr>https://www.embarpublishers.com/journals/11</vt:lpwstr>
      </vt:variant>
      <vt:variant>
        <vt:lpwstr/>
      </vt:variant>
      <vt:variant>
        <vt:i4>7667829</vt:i4>
      </vt:variant>
      <vt:variant>
        <vt:i4>24</vt:i4>
      </vt:variant>
      <vt:variant>
        <vt:i4>0</vt:i4>
      </vt:variant>
      <vt:variant>
        <vt:i4>5</vt:i4>
      </vt:variant>
      <vt:variant>
        <vt:lpwstr>https://www.embarpublishers.com/journals/10</vt:lpwstr>
      </vt:variant>
      <vt:variant>
        <vt:lpwstr/>
      </vt:variant>
      <vt:variant>
        <vt:i4>8192117</vt:i4>
      </vt:variant>
      <vt:variant>
        <vt:i4>21</vt:i4>
      </vt:variant>
      <vt:variant>
        <vt:i4>0</vt:i4>
      </vt:variant>
      <vt:variant>
        <vt:i4>5</vt:i4>
      </vt:variant>
      <vt:variant>
        <vt:lpwstr>https://www.embarpublishers.com/journals/9</vt:lpwstr>
      </vt:variant>
      <vt:variant>
        <vt:lpwstr/>
      </vt:variant>
      <vt:variant>
        <vt:i4>7471221</vt:i4>
      </vt:variant>
      <vt:variant>
        <vt:i4>18</vt:i4>
      </vt:variant>
      <vt:variant>
        <vt:i4>0</vt:i4>
      </vt:variant>
      <vt:variant>
        <vt:i4>5</vt:i4>
      </vt:variant>
      <vt:variant>
        <vt:lpwstr>https://www.embarpublishers.com/journals/6</vt:lpwstr>
      </vt:variant>
      <vt:variant>
        <vt:lpwstr/>
      </vt:variant>
      <vt:variant>
        <vt:i4>7536757</vt:i4>
      </vt:variant>
      <vt:variant>
        <vt:i4>15</vt:i4>
      </vt:variant>
      <vt:variant>
        <vt:i4>0</vt:i4>
      </vt:variant>
      <vt:variant>
        <vt:i4>5</vt:i4>
      </vt:variant>
      <vt:variant>
        <vt:lpwstr>https://www.embarpublishers.com/journals/7</vt:lpwstr>
      </vt:variant>
      <vt:variant>
        <vt:lpwstr/>
      </vt:variant>
      <vt:variant>
        <vt:i4>7471221</vt:i4>
      </vt:variant>
      <vt:variant>
        <vt:i4>12</vt:i4>
      </vt:variant>
      <vt:variant>
        <vt:i4>0</vt:i4>
      </vt:variant>
      <vt:variant>
        <vt:i4>5</vt:i4>
      </vt:variant>
      <vt:variant>
        <vt:lpwstr>https://www.embarpublishers.com/journals/6</vt:lpwstr>
      </vt:variant>
      <vt:variant>
        <vt:lpwstr/>
      </vt:variant>
      <vt:variant>
        <vt:i4>7405685</vt:i4>
      </vt:variant>
      <vt:variant>
        <vt:i4>9</vt:i4>
      </vt:variant>
      <vt:variant>
        <vt:i4>0</vt:i4>
      </vt:variant>
      <vt:variant>
        <vt:i4>5</vt:i4>
      </vt:variant>
      <vt:variant>
        <vt:lpwstr>https://www.embarpublishers.com/journals/5</vt:lpwstr>
      </vt:variant>
      <vt:variant>
        <vt:lpwstr/>
      </vt:variant>
      <vt:variant>
        <vt:i4>7798901</vt:i4>
      </vt:variant>
      <vt:variant>
        <vt:i4>6</vt:i4>
      </vt:variant>
      <vt:variant>
        <vt:i4>0</vt:i4>
      </vt:variant>
      <vt:variant>
        <vt:i4>5</vt:i4>
      </vt:variant>
      <vt:variant>
        <vt:lpwstr>https://www.embarpublishers.com/journals/3</vt:lpwstr>
      </vt:variant>
      <vt:variant>
        <vt:lpwstr/>
      </vt:variant>
      <vt:variant>
        <vt:i4>7733365</vt:i4>
      </vt:variant>
      <vt:variant>
        <vt:i4>3</vt:i4>
      </vt:variant>
      <vt:variant>
        <vt:i4>0</vt:i4>
      </vt:variant>
      <vt:variant>
        <vt:i4>5</vt:i4>
      </vt:variant>
      <vt:variant>
        <vt:lpwstr>https://www.embarpublishers.com/journals/2</vt:lpwstr>
      </vt:variant>
      <vt:variant>
        <vt:lpwstr/>
      </vt:variant>
      <vt:variant>
        <vt:i4>7667829</vt:i4>
      </vt:variant>
      <vt:variant>
        <vt:i4>0</vt:i4>
      </vt:variant>
      <vt:variant>
        <vt:i4>0</vt:i4>
      </vt:variant>
      <vt:variant>
        <vt:i4>5</vt:i4>
      </vt:variant>
      <vt:variant>
        <vt:lpwstr>https://www.embarpublishers.com/journals/1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EMBAR PUBLISHERS</dc:creator>
  <cp:lastModifiedBy>EMBAR PUBLISHERS</cp:lastModifiedBy>
  <cp:revision>4</cp:revision>
  <cp:lastPrinted>2026-04-19T13:02:00Z</cp:lastPrinted>
  <dcterms:created xsi:type="dcterms:W3CDTF">2026-04-19T13:02:00Z</dcterms:created>
  <dcterms:modified xsi:type="dcterms:W3CDTF">2026-04-19T16:02:00Z</dcterms:modified>
</cp:coreProperties>
</file>